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12 de August de 2025</w:t>
      </w:r>
    </w:p>
    <w:p>
      <w:pPr>
        <w:jc w:val="center"/>
      </w:pPr>
      <w:r>
        <w:rPr>
          <w:sz w:val="24"/>
        </w:rPr>
        <w:t>Que es una impugnación de oferta?</w:t>
      </w:r>
    </w:p>
    <w:p>
      <w:r>
        <w:br w:type="page"/>
      </w:r>
    </w:p>
    <w:p>
      <w:pPr>
        <w:jc w:val="center"/>
      </w:pPr>
      <w:r>
        <w:rPr>
          <w:rFonts w:ascii="Times New Roman" w:hAnsi="Times New Roman"/>
          <w:b/>
          <w:sz w:val="24"/>
        </w:rPr>
        <w:t>I. ANTECEDENTES</w:t>
      </w:r>
    </w:p>
    <w:p>
      <w:pPr>
        <w:spacing w:line="360" w:lineRule="auto" w:after="120"/>
        <w:ind w:firstLine="709"/>
        <w:jc w:val="both"/>
      </w:pPr>
      <w:r>
        <w:rPr>
          <w:b/>
          <w:sz w:val="24"/>
        </w:rPr>
        <w:t xml:space="preserve">1.1 </w:t>
      </w:r>
      <w:r>
        <w:rPr>
          <w:sz w:val="24"/>
        </w:rPr>
        <w:t>Dictamen Técnico-Jurídico</w:t>
      </w:r>
      <w:r>
        <w:rPr>
          <w:sz w:val="20"/>
          <w:vertAlign w:val="superscript"/>
        </w:rPr>
        <w:t>1</w:t>
      </w:r>
    </w:p>
    <w:p>
      <w:pPr>
        <w:spacing w:line="360" w:lineRule="auto" w:after="120"/>
        <w:ind w:firstLine="709"/>
        <w:jc w:val="both"/>
      </w:pPr>
      <w:r>
        <w:rPr>
          <w:b/>
          <w:sz w:val="24"/>
        </w:rPr>
        <w:t xml:space="preserve">1.2 </w:t>
      </w:r>
      <w:r>
        <w:rPr>
          <w:sz w:val="24"/>
        </w:rPr>
        <w:t>I. Antecedentes Se consulta sobre el concepto de "impugnación de oferta" en el marco del régimen jurídico de contrataciones públicas. Para ello, se analizan los dictámenes y normativas proporcionados, en particular aquellos relacionados con el sistema CONTRAR.AR y el principio de inmodificabilidad de las ofertas.</w:t>
      </w:r>
      <w:r>
        <w:rPr>
          <w:sz w:val="20"/>
          <w:vertAlign w:val="superscript"/>
        </w:rPr>
        <w:t>2</w:t>
      </w:r>
    </w:p>
    <w:p>
      <w:pPr>
        <w:spacing w:line="360" w:lineRule="auto" w:after="120"/>
        <w:ind w:firstLine="709"/>
        <w:jc w:val="both"/>
      </w:pPr>
      <w:r>
        <w:rPr>
          <w:b/>
          <w:sz w:val="24"/>
        </w:rPr>
        <w:t xml:space="preserve">1.3 </w:t>
      </w:r>
      <w:r>
        <w:rPr>
          <w:sz w:val="24"/>
        </w:rPr>
        <w:t>II. Análisis La impugnación de oferta se refiere al acto mediante el cual un oferente cuestiona aspectos específicos de una oferta presentada en un proceso de contratación pública. Según el contexto normativo, el mero hecho de ofertar implica el conocimiento y aceptación del régimen jurídico aplicable, lo que limita la posibilidad de cuestionar o impugnar la oferta una vez presentada [3].</w:t>
      </w:r>
      <w:r>
        <w:rPr>
          <w:sz w:val="20"/>
          <w:vertAlign w:val="superscript"/>
        </w:rPr>
        <w:t>2</w:t>
      </w:r>
    </w:p>
    <w:p>
      <w:pPr>
        <w:spacing w:line="360" w:lineRule="auto" w:after="120"/>
        <w:ind w:firstLine="709"/>
        <w:jc w:val="both"/>
      </w:pPr>
      <w:r>
        <w:rPr>
          <w:b/>
          <w:sz w:val="24"/>
        </w:rPr>
        <w:t xml:space="preserve">1.4 </w:t>
      </w:r>
      <w:r>
        <w:rPr>
          <w:sz w:val="24"/>
        </w:rPr>
        <w:t>En casos específicos, como la impugnación de uno o varios renglones de una oferta, el cálculo del TRES POR CIENTO (3%) se realiza sobre el monto de la oferta del propio impugnante, siempre que el dictamen de evaluación no aconseje la adjudicación a ninguna oferta [2].</w:t>
      </w:r>
      <w:r>
        <w:rPr>
          <w:sz w:val="20"/>
          <w:vertAlign w:val="superscript"/>
        </w:rPr>
        <w:t>3</w:t>
      </w:r>
    </w:p>
    <w:p>
      <w:pPr>
        <w:spacing w:line="360" w:lineRule="auto" w:after="120"/>
        <w:ind w:firstLine="709"/>
        <w:jc w:val="both"/>
      </w:pPr>
      <w:r>
        <w:rPr>
          <w:b/>
          <w:sz w:val="24"/>
        </w:rPr>
        <w:t xml:space="preserve">1.5 </w:t>
      </w:r>
      <w:r>
        <w:rPr>
          <w:sz w:val="24"/>
        </w:rPr>
        <w:t>Además, históricamente se ha sostenido el principio de inmodificabilidad de las ofertas como una regla prácticamente absoluta, lo que refuerza la formalidad del procedimiento de contrataciones [4] [5].</w:t>
      </w:r>
      <w:r>
        <w:rPr>
          <w:sz w:val="20"/>
          <w:vertAlign w:val="superscript"/>
        </w:rPr>
        <w:t>4</w:t>
      </w:r>
    </w:p>
    <w:p>
      <w:pPr>
        <w:spacing w:line="360" w:lineRule="auto" w:after="120"/>
        <w:ind w:firstLine="709"/>
        <w:jc w:val="both"/>
      </w:pPr>
      <w:r>
        <w:rPr>
          <w:b/>
          <w:sz w:val="24"/>
        </w:rPr>
        <w:t xml:space="preserve">1.6 </w:t>
      </w:r>
      <w:r>
        <w:rPr>
          <w:sz w:val="24"/>
        </w:rPr>
        <w:t>III. Conclusión La impugnación de oferta es un mecanismo limitado y excepcional dentro del proceso de contrataciones públicas, sujeto al principio de inmodificabilidad de las ofertas y al conocimiento previo del régimen jurídico aplicable. Su aplicación está restringida a casos específicos, como la impugnación de renglones particulares, y debe ajustarse a las normas establecidas en el sistema CONTRAR.AR.</w:t>
      </w:r>
      <w:r>
        <w:rPr>
          <w:sz w:val="20"/>
          <w:vertAlign w:val="superscript"/>
        </w:rPr>
        <w:t>2</w:t>
      </w:r>
    </w:p>
    <w:p>
      <w:pPr>
        <w:spacing w:line="360" w:lineRule="auto" w:after="120"/>
        <w:ind w:firstLine="709"/>
        <w:jc w:val="both"/>
      </w:pPr>
      <w:r>
        <w:rPr>
          <w:b/>
          <w:sz w:val="24"/>
        </w:rPr>
        <w:t xml:space="preserve">1.7 </w:t>
      </w:r>
      <w:r>
        <w:rPr>
          <w:sz w:val="24"/>
        </w:rPr>
        <w:t>Firma [Abogado/a especialista en Derecho Administrativo] [Fecha]</w:t>
      </w:r>
      <w:r>
        <w:rPr>
          <w:sz w:val="20"/>
          <w:vertAlign w:val="superscript"/>
        </w:rPr>
        <w:t>2</w:t>
      </w:r>
    </w:p>
    <w:p>
      <w:r>
        <w:br/>
      </w:r>
    </w:p>
    <w:p>
      <w:pPr>
        <w:jc w:val="right"/>
      </w:pPr>
      <w:r>
        <w:rPr>
          <w:b/>
          <w:sz w:val="24"/>
        </w:rPr>
        <w:t>Dr. Rolando Keumurdji Rizzuti</w:t>
      </w:r>
    </w:p>
    <w:p>
      <w:r>
        <w:rPr>
          <w:sz w:val="20"/>
        </w:rPr>
        <w:t>________________________________________</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materia.</w:t>
      </w:r>
    </w:p>
    <w:p>
      <w:r>
        <w:rPr>
          <w:b/>
          <w:sz w:val="20"/>
        </w:rPr>
        <w:t>[3] Dictamen - ONC - DICTÁMENES - 2019-01-01</w:t>
        <w:br/>
      </w:r>
      <w:r>
        <w:rPr>
          <w:sz w:val="20"/>
        </w:rPr>
        <w:t>Fuente: C:\Sistema 28\Repositorio\Compendios Oficiales\ONC - Dictámenes\2019 - 2020\2019_2020_ONC_Dictamenes.pdf</w:t>
        <w:br/>
      </w:r>
      <w:r>
        <w:rPr>
          <w:sz w:val="20"/>
        </w:rPr>
        <w:t>Roque Sáenz Peña 788 – Piso 6 (C1067AAA) Ciudad Autónoma de Buenos Aires, República Argentina. Compendio de Dictámenes Sumario de dictámenes 2019 – 2020 DIRECCIÓN NACIONAL DE CONTRATACIÓN DE BIENES Y SERVICIOS Roque Sáenz Peña 788 – Piso 6 (C1067AAA) Ciudad Autónoma de Buenos Aires, República Argentina.</w:t>
      </w:r>
    </w:p>
    <w:p>
      <w:r>
        <w:rPr>
          <w:b/>
          <w:sz w:val="20"/>
        </w:rPr>
        <w:t>[4]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