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12 de August de 2025</w:t>
      </w:r>
    </w:p>
    <w:p>
      <w:pPr>
        <w:jc w:val="center"/>
      </w:pPr>
      <w:r>
        <w:rPr>
          <w:sz w:val="24"/>
        </w:rPr>
        <w:t>Que es una licitación?</w:t>
      </w:r>
    </w:p>
    <w:p>
      <w:r>
        <w:br w:type="page"/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b/>
          <w:sz w:val="24"/>
        </w:rPr>
        <w:t xml:space="preserve">0.1 </w:t>
      </w:r>
      <w:r>
        <w:rPr>
          <w:rFonts w:ascii="Times New Roman" w:hAnsi="Times New Roman"/>
        </w:rPr>
        <w:t>DICTAMEN TÉCNICO-JURÍDICO</w:t>
      </w:r>
      <w:r>
        <w:rPr>
          <w:sz w:val="20"/>
          <w:vertAlign w:val="superscript"/>
        </w:rPr>
        <w:t>1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b/>
          <w:sz w:val="24"/>
        </w:rPr>
        <w:t xml:space="preserve">0.2 </w:t>
      </w:r>
      <w:r>
        <w:rPr>
          <w:rFonts w:ascii="Times New Roman" w:hAnsi="Times New Roman"/>
        </w:rPr>
        <w:t>I. ANTECEDENTES Se consulta acerca del concepto de "licitación" en el marco del derecho administrativo argentino, específicamente en relación con su publicidad y formalización.</w:t>
      </w:r>
      <w:r>
        <w:rPr>
          <w:sz w:val="20"/>
          <w:vertAlign w:val="superscript"/>
        </w:rPr>
        <w:t>2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b/>
          <w:sz w:val="24"/>
        </w:rPr>
        <w:t xml:space="preserve">0.3 </w:t>
      </w:r>
      <w:r>
        <w:rPr>
          <w:rFonts w:ascii="Times New Roman" w:hAnsi="Times New Roman"/>
        </w:rPr>
        <w:t>II. ANÁLISIS De acuerdo con los dictámenes de la Oficina Nacional de Contrataciones (ONC) citados, la licitación se caracteriza por su publicidad, la cual se materializa a través del "llamado a licitación". Este llamado constituye el acto formal mediante el cual la administración pública invita a potenciales oferentes a presentar sus propuestas en un procedimiento reglado, asegurando transparencia, competencia e igualdad de condiciones entre los participantes.</w:t>
      </w:r>
      <w:r>
        <w:rPr>
          <w:sz w:val="20"/>
          <w:vertAlign w:val="superscript"/>
        </w:rPr>
        <w:t>3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b/>
          <w:sz w:val="24"/>
        </w:rPr>
        <w:t xml:space="preserve">0.4 </w:t>
      </w:r>
      <w:r>
        <w:rPr>
          <w:rFonts w:ascii="Times New Roman" w:hAnsi="Times New Roman"/>
        </w:rPr>
        <w:t>La reiterada referencia en los dictámenes consultados indica que el elemento esencial de la licitación es su carácter público, garantizado por la difusión del llamado, conforme a los principios que rigen la contratación pública.</w:t>
      </w:r>
      <w:r>
        <w:rPr>
          <w:sz w:val="20"/>
          <w:vertAlign w:val="superscript"/>
        </w:rPr>
        <w:t>4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b/>
          <w:sz w:val="24"/>
        </w:rPr>
        <w:t xml:space="preserve">0.5 </w:t>
      </w:r>
      <w:r>
        <w:rPr>
          <w:rFonts w:ascii="Times New Roman" w:hAnsi="Times New Roman"/>
        </w:rPr>
        <w:t>III. CONCLUSIÓN A la luz de los antecedentes examinados, se concluye que la licitación es un procedimiento de selección contractual en el que la publicidad se manifiesta mediante el "llamado a licitación", asegurando la participación competitiva y transparente de los interesados.</w:t>
      </w:r>
      <w:r>
        <w:rPr>
          <w:sz w:val="20"/>
          <w:vertAlign w:val="superscript"/>
        </w:rPr>
        <w:t>3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b/>
          <w:sz w:val="24"/>
        </w:rPr>
        <w:t xml:space="preserve">0.6 </w:t>
      </w:r>
      <w:r>
        <w:rPr>
          <w:rFonts w:ascii="Times New Roman" w:hAnsi="Times New Roman"/>
        </w:rPr>
        <w:t>Sin otro particular, se emite el presente dictamen en los términos solicitados.</w:t>
      </w:r>
      <w:r>
        <w:rPr>
          <w:sz w:val="20"/>
          <w:vertAlign w:val="superscript"/>
        </w:rPr>
        <w:t>4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b/>
          <w:sz w:val="24"/>
        </w:rPr>
        <w:t xml:space="preserve">0.7 </w:t>
      </w:r>
      <w:r>
        <w:rPr>
          <w:rFonts w:ascii="Times New Roman" w:hAnsi="Times New Roman"/>
        </w:rPr>
        <w:t>FIRMA [Abogado especialista en Derecho Administrativo] *Asesoría Jurídica* *Fecha de emisión: [día] de [mes] de [año]*</w:t>
      </w:r>
      <w:r>
        <w:rPr>
          <w:sz w:val="20"/>
          <w:vertAlign w:val="superscript"/>
        </w:rPr>
        <w:t>2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b/>
          <w:sz w:val="24"/>
        </w:rPr>
        <w:t xml:space="preserve">0.8 </w:t>
      </w:r>
      <w:r>
        <w:rPr>
          <w:rFonts w:ascii="Times New Roman" w:hAnsi="Times New Roman"/>
        </w:rPr>
        <w:t>--- *Documento elaborado conforme al Manual de Estilo PTN 2023.*</w:t>
      </w:r>
      <w:r>
        <w:rPr>
          <w:sz w:val="20"/>
          <w:vertAlign w:val="superscript"/>
        </w:rPr>
        <w:t>5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p>
      <w:pPr>
        <w:jc w:val="left"/>
      </w:pPr>
      <w:r>
        <w:rPr>
          <w:sz w:val="16"/>
        </w:rPr>
        <w:t>------------------------------------------------------------</w:t>
      </w:r>
    </w:p>
    <w:p>
      <w:r>
        <w:br w:type="page"/>
      </w:r>
    </w:p>
    <w:p>
      <w:pPr>
        <w:pStyle w:val="Heading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None - ONC -NORMATIVOS - 2024-01-01</w:t>
        <w:br/>
      </w:r>
      <w:r>
        <w:rPr>
          <w:sz w:val="20"/>
        </w:rPr>
        <w:t>Fuente: C:\Sistema 28\Repositorio\Compendios Oficiales\ONC -Normativos\Obra Pública\2024_ONC_Normativo.pdf</w:t>
        <w:br/>
      </w:r>
      <w:r>
        <w:rPr>
          <w:sz w:val="20"/>
        </w:rPr>
        <w:t>ONC | Oficina Nacional de Contrataciones COMPENDIO NORMATIVO RÉGIMEN DE CONTRATACIONES DE OBRA PÚBLICA En el orden Nacional el alto grado de tecnificación y especialidad en materia de contrataciones de obra pública, sumados a una ley de antigua data, han permitido que, con el paso del tiempo, se genere una profusión y dispersión normativa en la mat...</w:t>
      </w:r>
    </w:p>
    <w:p>
      <w:r>
        <w:rPr>
          <w:b/>
          <w:sz w:val="20"/>
        </w:rPr>
        <w:t>[3]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  <w:sz w:val="20"/>
        </w:rPr>
        <w:t>[4] Dictamen - ONC - DICTÁMENES - 2023-01-01</w:t>
        <w:br/>
      </w:r>
      <w:r>
        <w:rPr>
          <w:sz w:val="20"/>
        </w:rPr>
        <w:t>Fuente: C:\Sistema 28\Repositorio\Compendios Oficiales\ONC - Dictámenes\2023\2023_ONC_Dictamenes.pdf</w:t>
        <w:br/>
      </w:r>
      <w:r>
        <w:rPr>
          <w:sz w:val="20"/>
        </w:rPr>
        <w:t>COMPENDIO DE DICTÁMENES 1 PRÓLOGO.</w:t>
      </w:r>
    </w:p>
    <w:p>
      <w:r>
        <w:rPr>
          <w:b/>
          <w:sz w:val="20"/>
        </w:rPr>
        <w:t>[5] Dictamen - ONC - DICTÁMENES - 2019-01-01</w:t>
        <w:br/>
      </w:r>
      <w:r>
        <w:rPr>
          <w:sz w:val="20"/>
        </w:rPr>
        <w:t>Fuente: C:\Sistema 28\Repositorio\Compendios Oficiales\ONC - Dictámenes\2019 - 2020\2019_2020_ONC_Dictamenes.pdf</w:t>
        <w:br/>
      </w:r>
      <w:r>
        <w:rPr>
          <w:sz w:val="20"/>
        </w:rPr>
        <w:t>Roque Sáenz Peña 788 – Piso 6 (C1067AAA) Ciudad Autónoma de Buenos Aires, República Argentina. Compendio de Dictámenes Sumario de dictámenes 2019 – 2020 DIRECCIÓN NACIONAL DE CONTRATACIÓN DE BIENES Y SERVICIOS Roque Sáenz Peña 788 – Piso 6 (C1067AAA) Ciudad Autónoma de Buenos Aires, República Argentina.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