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Dictamen Jurídico</w:t>
      </w:r>
    </w:p>
    <w:p/>
    <w:p>
      <w:pPr>
        <w:jc w:val="center"/>
      </w:pPr>
      <w:r>
        <w:rPr>
          <w:sz w:val="24"/>
        </w:rPr>
        <w:t>13 de August de 2025</w:t>
      </w:r>
    </w:p>
    <w:p>
      <w:pPr>
        <w:jc w:val="center"/>
      </w:pPr>
      <w:r>
        <w:rPr>
          <w:sz w:val="24"/>
        </w:rPr>
        <w:t>Cuales son las causales de inelegibilidad de un oferente?</w:t>
      </w:r>
    </w:p>
    <w:p>
      <w:r>
        <w:br w:type="page"/>
      </w:r>
    </w:p>
    <w:p>
      <w:pPr>
        <w:spacing w:line="360" w:lineRule="auto" w:after="120"/>
        <w:ind w:firstLine="709"/>
        <w:jc w:val="both"/>
      </w:pPr>
      <w:r>
        <w:rPr>
          <w:rFonts w:ascii="Times New Roman" w:hAnsi="Times New Roman"/>
          <w:b/>
          <w:sz w:val="24"/>
        </w:rPr>
        <w:t xml:space="preserve">0.1 </w:t>
      </w:r>
      <w:r>
        <w:rPr>
          <w:rFonts w:ascii="Times New Roman" w:hAnsi="Times New Roman"/>
        </w:rPr>
        <w:t>DICTAMEN TÉCNICO-JURÍDICO</w:t>
      </w:r>
      <w:r>
        <w:rPr>
          <w:sz w:val="20"/>
          <w:vertAlign w:val="superscript"/>
        </w:rPr>
        <w:t>1</w:t>
      </w:r>
    </w:p>
    <w:p>
      <w:pPr>
        <w:spacing w:line="360" w:lineRule="auto" w:after="120"/>
        <w:ind w:firstLine="709"/>
        <w:jc w:val="both"/>
      </w:pPr>
      <w:r>
        <w:rPr>
          <w:rFonts w:ascii="Times New Roman" w:hAnsi="Times New Roman"/>
          <w:b/>
          <w:sz w:val="24"/>
        </w:rPr>
        <w:t xml:space="preserve">0.2 </w:t>
      </w:r>
      <w:r>
        <w:rPr>
          <w:rFonts w:ascii="Times New Roman" w:hAnsi="Times New Roman"/>
        </w:rPr>
        <w:t>I. ANTECEDENTES Se consulta acerca de las causales de inelegibilidad de un oferente en procedimientos de contratación pública. Del análisis de los dictámenes de la Oficina Nacional de Contrataciones (ONC) proporcionados, se advierte que la materia ha sido objeto de tratamiento en diversas oportunidades, destacándose la relevancia de preservar la transparencia y competitividad en los procesos licitatorios.</w:t>
      </w:r>
      <w:r>
        <w:rPr>
          <w:sz w:val="20"/>
          <w:vertAlign w:val="superscript"/>
        </w:rPr>
        <w:t>2</w:t>
      </w:r>
    </w:p>
    <w:p>
      <w:pPr>
        <w:spacing w:line="360" w:lineRule="auto" w:after="120"/>
        <w:ind w:firstLine="709"/>
        <w:jc w:val="both"/>
      </w:pPr>
      <w:r>
        <w:rPr>
          <w:rFonts w:ascii="Times New Roman" w:hAnsi="Times New Roman"/>
          <w:b/>
          <w:sz w:val="24"/>
        </w:rPr>
        <w:t xml:space="preserve">0.3 </w:t>
      </w:r>
      <w:r>
        <w:rPr>
          <w:rFonts w:ascii="Times New Roman" w:hAnsi="Times New Roman"/>
        </w:rPr>
        <w:t>II. ANÁLISIS</w:t>
      </w:r>
      <w:r>
        <w:rPr>
          <w:sz w:val="20"/>
          <w:vertAlign w:val="superscript"/>
        </w:rPr>
        <w:t>3</w:t>
      </w:r>
    </w:p>
    <w:p>
      <w:pPr>
        <w:spacing w:line="360" w:lineRule="auto" w:after="120"/>
        <w:ind w:firstLine="709"/>
        <w:jc w:val="both"/>
      </w:pPr>
      <w:r>
        <w:rPr>
          <w:rFonts w:ascii="Times New Roman" w:hAnsi="Times New Roman"/>
          <w:b/>
          <w:sz w:val="24"/>
        </w:rPr>
        <w:t xml:space="preserve">0.4 </w:t>
      </w:r>
      <w:r>
        <w:rPr>
          <w:rFonts w:ascii="Times New Roman" w:hAnsi="Times New Roman"/>
        </w:rPr>
        <w:t>1. Causales de inelegibilidad De los antecedentes examinados, se desprende que las causales de inelegibilidad están reguladas, entre otras normas, en el artículo 28 del Decreto Delegado N° 1023/01 (citado en el dictamen [3] y [4]). En particular, se mencionan los incisos f) y h) de dicho artículo, aunque no se transcribe su texto en el contexto proporcionado.</w:t>
      </w:r>
      <w:r>
        <w:rPr>
          <w:sz w:val="20"/>
          <w:vertAlign w:val="superscript"/>
        </w:rPr>
        <w:t>3</w:t>
      </w:r>
    </w:p>
    <w:p>
      <w:pPr>
        <w:spacing w:line="360" w:lineRule="auto" w:after="120"/>
        <w:ind w:firstLine="709"/>
        <w:jc w:val="both"/>
      </w:pPr>
      <w:r>
        <w:rPr>
          <w:rFonts w:ascii="Times New Roman" w:hAnsi="Times New Roman"/>
          <w:b/>
          <w:sz w:val="24"/>
        </w:rPr>
        <w:t xml:space="preserve">0.5 </w:t>
      </w:r>
      <w:r>
        <w:rPr>
          <w:rFonts w:ascii="Times New Roman" w:hAnsi="Times New Roman"/>
        </w:rPr>
        <w:t>2. Finalidad de las causales Según el dictamen [1] y [2], una de las causales de inelegibilidad está vinculada con la concertación o coordinación de posturas entre oferentes, cuya finalidad es evitar connivencias que perjudiquen a la Administración. Esta causal busca garantizar la libre competencia y la integridad del procedimiento licitatorio.</w:t>
      </w:r>
      <w:r>
        <w:rPr>
          <w:sz w:val="20"/>
          <w:vertAlign w:val="superscript"/>
        </w:rPr>
        <w:t>4</w:t>
      </w:r>
    </w:p>
    <w:p>
      <w:pPr>
        <w:spacing w:line="360" w:lineRule="auto" w:after="120"/>
        <w:ind w:firstLine="709"/>
        <w:jc w:val="both"/>
      </w:pPr>
      <w:r>
        <w:rPr>
          <w:rFonts w:ascii="Times New Roman" w:hAnsi="Times New Roman"/>
          <w:b/>
          <w:sz w:val="24"/>
        </w:rPr>
        <w:t xml:space="preserve">0.6 </w:t>
      </w:r>
      <w:r>
        <w:rPr>
          <w:rFonts w:ascii="Times New Roman" w:hAnsi="Times New Roman"/>
        </w:rPr>
        <w:t>3. Momento de verificación El dictamen [4] señala que la verificación de las causales de inhabilidad (inelegibilidad) debe realizarse en todos los procedimientos donde intervenga la Comisión Evaluadora, incluso aquellos iniciados antes de la vigencia del Decreto N° 356/19.</w:t>
      </w:r>
      <w:r>
        <w:rPr>
          <w:sz w:val="20"/>
          <w:vertAlign w:val="superscript"/>
        </w:rPr>
        <w:t>5</w:t>
      </w:r>
    </w:p>
    <w:p>
      <w:pPr>
        <w:spacing w:line="360" w:lineRule="auto" w:after="120"/>
        <w:ind w:firstLine="709"/>
        <w:jc w:val="both"/>
      </w:pPr>
      <w:r>
        <w:rPr>
          <w:rFonts w:ascii="Times New Roman" w:hAnsi="Times New Roman"/>
          <w:b/>
          <w:sz w:val="24"/>
        </w:rPr>
        <w:t xml:space="preserve">0.7 </w:t>
      </w:r>
      <w:r>
        <w:rPr>
          <w:rFonts w:ascii="Times New Roman" w:hAnsi="Times New Roman"/>
        </w:rPr>
        <w:t>4. Exigencia de fundamentación Como se destaca en el dictamen [5], en caso de declararse la inelegibilidad de un oferente, la decisión debe estar debidamente fundamentada, precisando los indicios que justifican la aplicación de la causal.</w:t>
      </w:r>
      <w:r>
        <w:rPr>
          <w:sz w:val="20"/>
          <w:vertAlign w:val="superscript"/>
        </w:rPr>
        <w:t>3</w:t>
      </w:r>
    </w:p>
    <w:p>
      <w:pPr>
        <w:spacing w:line="360" w:lineRule="auto" w:after="120"/>
        <w:ind w:firstLine="709"/>
        <w:jc w:val="both"/>
      </w:pPr>
      <w:r>
        <w:rPr>
          <w:rFonts w:ascii="Times New Roman" w:hAnsi="Times New Roman"/>
          <w:b/>
          <w:sz w:val="24"/>
        </w:rPr>
        <w:t xml:space="preserve">0.8 </w:t>
      </w:r>
      <w:r>
        <w:rPr>
          <w:rFonts w:ascii="Times New Roman" w:hAnsi="Times New Roman"/>
        </w:rPr>
        <w:t>III. CONCLUSIÓN A partir del contexto proporcionado, se concluye que: 1. Las causales de inelegibilidad de un oferente están previstas, entre otras normas, en el artículo 28 del Decreto Delegado N° 1023/01, destacándose la prohibición de concertación o coordinación de posturas como una de ellas. 2. La verificación de estas causales corresponde a la Comisión Evaluadora y debe realizarse en todos los procedimientos aplicables, independientemente de su fecha de inicio. 3. Toda declaración de inelegibilidad debe estar fundamentada, exponiendo con claridad los indicios que la justifican.</w:t>
      </w:r>
      <w:r>
        <w:rPr>
          <w:sz w:val="20"/>
          <w:vertAlign w:val="superscript"/>
        </w:rPr>
        <w:t>3</w:t>
      </w:r>
    </w:p>
    <w:p>
      <w:pPr>
        <w:spacing w:line="360" w:lineRule="auto" w:after="120"/>
        <w:ind w:firstLine="709"/>
        <w:jc w:val="both"/>
      </w:pPr>
      <w:r>
        <w:rPr>
          <w:rFonts w:ascii="Times New Roman" w:hAnsi="Times New Roman"/>
          <w:b/>
          <w:sz w:val="24"/>
        </w:rPr>
        <w:t xml:space="preserve">0.9 </w:t>
      </w:r>
      <w:r>
        <w:rPr>
          <w:rFonts w:ascii="Times New Roman" w:hAnsi="Times New Roman"/>
        </w:rPr>
        <w:t>Sin perjuicio de lo expuesto, se recomienda consultar el texto completo del artículo 28 del Decreto 1023/01 para un análisis exhaustivo de todas las causales de inelegibilidad aplicables.</w:t>
      </w:r>
      <w:r>
        <w:rPr>
          <w:sz w:val="20"/>
          <w:vertAlign w:val="superscript"/>
        </w:rPr>
        <w:t>4</w:t>
      </w:r>
    </w:p>
    <w:p>
      <w:pPr>
        <w:spacing w:line="360" w:lineRule="auto" w:after="120"/>
        <w:ind w:firstLine="709"/>
        <w:jc w:val="both"/>
      </w:pPr>
      <w:r>
        <w:rPr>
          <w:rFonts w:ascii="Times New Roman" w:hAnsi="Times New Roman"/>
          <w:b/>
          <w:sz w:val="24"/>
        </w:rPr>
        <w:t xml:space="preserve">0.10 </w:t>
      </w:r>
      <w:r>
        <w:rPr>
          <w:rFonts w:ascii="Times New Roman" w:hAnsi="Times New Roman"/>
        </w:rPr>
        <w:t>FIRMA [Abogado especializado en Derecho Administrativo] [Fecha]</w:t>
      </w:r>
      <w:r>
        <w:rPr>
          <w:sz w:val="20"/>
          <w:vertAlign w:val="superscript"/>
        </w:rPr>
        <w:t>2</w:t>
      </w:r>
    </w:p>
    <w:p>
      <w:pPr>
        <w:spacing w:line="360" w:lineRule="auto" w:after="120"/>
        <w:ind w:firstLine="709"/>
        <w:jc w:val="both"/>
      </w:pPr>
      <w:r>
        <w:rPr>
          <w:rFonts w:ascii="Times New Roman" w:hAnsi="Times New Roman"/>
          <w:b/>
          <w:sz w:val="24"/>
        </w:rPr>
        <w:t xml:space="preserve">0.11 </w:t>
      </w:r>
      <w:r>
        <w:rPr>
          <w:rFonts w:ascii="Times New Roman" w:hAnsi="Times New Roman"/>
        </w:rPr>
        <w:t>--- *Nota: El presente dictamen se ajusta al Manual de Estilo PTN 2023 en cuanto a estructura, claridad y precisión técnica, basándose exclusivamente en el contexto normativo y jurisprudencial proporcionado.*</w:t>
      </w:r>
      <w:r>
        <w:rPr>
          <w:sz w:val="20"/>
          <w:vertAlign w:val="superscript"/>
        </w:rPr>
        <w:t>3</w:t>
      </w:r>
    </w:p>
    <w:p>
      <w:r>
        <w:br/>
      </w:r>
    </w:p>
    <w:p>
      <w:pPr>
        <w:jc w:val="right"/>
      </w:pPr>
      <w:r>
        <w:rPr>
          <w:b/>
          <w:sz w:val="24"/>
        </w:rPr>
        <w:t>Dr. Rolando Keumurdji Rizzuti</w:t>
      </w:r>
    </w:p>
    <w:p>
      <w:pPr>
        <w:jc w:val="left"/>
      </w:pPr>
      <w:r>
        <w:rPr>
          <w:sz w:val="16"/>
        </w:rPr>
        <w:t>------------------------------------------------------------</w:t>
      </w:r>
    </w:p>
    <w:p>
      <w:r>
        <w:br w:type="page"/>
      </w:r>
    </w:p>
    <w:p>
      <w:pPr>
        <w:pStyle w:val="Heading1"/>
      </w:pPr>
      <w:r>
        <w:t>Notas y Referencias</w:t>
      </w:r>
    </w:p>
    <w:p>
      <w:r>
        <w:rPr>
          <w:b/>
          <w:sz w:val="20"/>
        </w:rPr>
        <w:t>[1] Dictamen - PG-CABA - DICTÁMENES - 2016-01-01</w:t>
        <w:br/>
      </w:r>
      <w:r>
        <w:rPr>
          <w:sz w:val="20"/>
        </w:rPr>
        <w:t>Fuente: C:\Sistema 28\Repositorio\Compendios Oficiales\PG-CABA - Dictámenes\2016\2016_PG_CABA_Dictamenes.pdf</w:t>
        <w:br/>
      </w:r>
      <w:r>
        <w:rPr>
          <w:sz w:val="20"/>
        </w:rPr>
        <w:t>En todo estás vos Compendio Temático de Dictámenes DE LA PROCURACIÓN GENERAL DE BUENOS AIRES AÑO 2016. SUMARIOS DE DOCTRINAS 2 Institucional • Jefe de Gobierno: Lic. Horacio Rodríguez Larreta • Vicejefe de Gobierno: Cdor.</w:t>
      </w:r>
    </w:p>
    <w:p>
      <w:r>
        <w:rPr>
          <w:b/>
          <w:sz w:val="20"/>
        </w:rPr>
        <w:t>[2] None - ONC -NORMATIVOS - 2024-01-01</w:t>
        <w:br/>
      </w:r>
      <w:r>
        <w:rPr>
          <w:sz w:val="20"/>
        </w:rPr>
        <w:t>Fuente: C:\Sistema 28\Repositorio\Compendios Oficiales\ONC -Normativos\Obra Pública\2024_ONC_Normativo.pdf</w:t>
        <w:br/>
      </w:r>
      <w:r>
        <w:rPr>
          <w:sz w:val="20"/>
        </w:rPr>
        <w:t>ONC | Oficina Nacional de Contrataciones COMPENDIO NORMATIVO RÉGIMEN DE CONTRATACIONES DE OBRA PÚBLICA En el orden Nacional el alto grado de tecnificación y especialidad en materia de contrataciones de obra pública, sumados a una ley de antigua data, han permitido que, con el paso del tiempo, se genere una profusión y dispersión normativa en la mat...</w:t>
      </w:r>
    </w:p>
    <w:p>
      <w:r>
        <w:rPr>
          <w:b/>
          <w:sz w:val="20"/>
        </w:rPr>
        <w:t>[3] Dictamen - ONC - DICTÁMENES - 2023-01-01</w:t>
        <w:br/>
      </w:r>
      <w:r>
        <w:rPr>
          <w:sz w:val="20"/>
        </w:rPr>
        <w:t>Fuente: C:\Sistema 28\Repositorio\Compendios Oficiales\ONC - Dictámenes\2023\2023_ONC_Dictamenes.pdf</w:t>
        <w:br/>
      </w:r>
      <w:r>
        <w:rPr>
          <w:sz w:val="20"/>
        </w:rPr>
        <w:t>COMPENDIO DE DICTÁMENES 1 PRÓLOGO.</w:t>
      </w:r>
    </w:p>
    <w:p>
      <w:r>
        <w:rPr>
          <w:b/>
          <w:sz w:val="20"/>
        </w:rPr>
        <w:t>[4]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p>
      <w:r>
        <w:rPr>
          <w:b/>
          <w:sz w:val="20"/>
        </w:rPr>
        <w:t>[5] Dictamen - ONC - DICTÁMENES - 2019-01-01</w:t>
        <w:br/>
      </w:r>
      <w:r>
        <w:rPr>
          <w:sz w:val="20"/>
        </w:rPr>
        <w:t>Fuente: C:\Sistema 28\Repositorio\Compendios Oficiales\ONC - Dictámenes\2019 - 2020\2019_2020_ONC_Dictamenes.pdf</w:t>
        <w:br/>
      </w:r>
      <w:r>
        <w:rPr>
          <w:sz w:val="20"/>
        </w:rPr>
        <w:t>Roque Sáenz Peña 788 – Piso 6 (C1067AAA) Ciudad Autónoma de Buenos Aires, República Argentina. Compendio de Dictámenes Sumario de dictámenes 2019 – 2020 DIRECCIÓN NACIONAL DE CONTRATACIÓN DE BIENES Y SERVICIOS Roque Sáenz Peña 788 – Piso 6 (C1067AAA) Ciudad Autónoma de Buenos Aires, República Argentina.</w:t>
      </w:r>
    </w:p>
    <w:sectPr w:rsidR="00FC693F" w:rsidRPr="0006063C" w:rsidSect="00034616">
      <w:headerReference w:type="default" r:id="rId9"/>
      <w:footerReference w:type="default" r:id="rId10"/>
      <w:pgSz w:w="12240" w:h="15840"/>
      <w:pgMar w:top="1417" w:right="141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Página </w:t>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S28 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