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11" w:rsidRPr="00FA3A2E" w:rsidRDefault="00353A11" w:rsidP="00353A11">
      <w:pPr>
        <w:jc w:val="center"/>
        <w:rPr>
          <w:rFonts w:cs="Times New Roman"/>
          <w:b/>
          <w:color w:val="000000" w:themeColor="text1"/>
          <w:sz w:val="56"/>
          <w:szCs w:val="56"/>
        </w:rPr>
      </w:pPr>
    </w:p>
    <w:p w:rsidR="00353A11" w:rsidRPr="00FA3A2E" w:rsidRDefault="00353A11" w:rsidP="00353A11">
      <w:pPr>
        <w:jc w:val="center"/>
        <w:rPr>
          <w:rFonts w:cs="Times New Roman"/>
          <w:b/>
          <w:color w:val="000000" w:themeColor="text1"/>
          <w:sz w:val="56"/>
          <w:szCs w:val="56"/>
        </w:rPr>
      </w:pPr>
    </w:p>
    <w:p w:rsidR="00353A11" w:rsidRPr="00FA3A2E" w:rsidRDefault="00353A11" w:rsidP="00353A11">
      <w:pPr>
        <w:jc w:val="center"/>
        <w:rPr>
          <w:rFonts w:cs="Times New Roman"/>
          <w:b/>
          <w:color w:val="000000" w:themeColor="text1"/>
          <w:sz w:val="56"/>
          <w:szCs w:val="56"/>
        </w:rPr>
      </w:pPr>
    </w:p>
    <w:p w:rsidR="00353A11" w:rsidRPr="00FA3A2E" w:rsidRDefault="00353A11" w:rsidP="00353A11">
      <w:pPr>
        <w:jc w:val="center"/>
        <w:rPr>
          <w:rFonts w:cs="Times New Roman"/>
          <w:b/>
          <w:color w:val="000000" w:themeColor="text1"/>
          <w:sz w:val="56"/>
          <w:szCs w:val="56"/>
        </w:rPr>
      </w:pPr>
    </w:p>
    <w:p w:rsidR="00353A11" w:rsidRPr="00FA3A2E" w:rsidRDefault="00353A11" w:rsidP="00353A11">
      <w:pPr>
        <w:jc w:val="center"/>
        <w:rPr>
          <w:rFonts w:cs="Times New Roman"/>
          <w:b/>
          <w:color w:val="000000" w:themeColor="text1"/>
          <w:sz w:val="56"/>
          <w:szCs w:val="56"/>
        </w:rPr>
      </w:pPr>
      <w:r w:rsidRPr="00FA3A2E">
        <w:rPr>
          <w:rFonts w:cs="Times New Roman"/>
          <w:b/>
          <w:color w:val="000000" w:themeColor="text1"/>
          <w:sz w:val="56"/>
          <w:szCs w:val="56"/>
        </w:rPr>
        <w:t>COMUNICAÇÃO ORAL</w:t>
      </w:r>
    </w:p>
    <w:p w:rsidR="00353A11" w:rsidRPr="00FA3A2E" w:rsidRDefault="00353A11" w:rsidP="00353A11">
      <w:pPr>
        <w:jc w:val="center"/>
        <w:rPr>
          <w:rFonts w:cs="Times New Roman"/>
          <w:b/>
          <w:color w:val="000000" w:themeColor="text1"/>
          <w:sz w:val="56"/>
          <w:szCs w:val="56"/>
        </w:rPr>
      </w:pPr>
    </w:p>
    <w:p w:rsidR="00353A11" w:rsidRDefault="00353A11" w:rsidP="00353A11">
      <w:pPr>
        <w:ind w:firstLine="0"/>
        <w:jc w:val="center"/>
        <w:rPr>
          <w:rFonts w:cs="Times New Roman"/>
          <w:b/>
          <w:color w:val="000000" w:themeColor="text1"/>
          <w:sz w:val="56"/>
          <w:szCs w:val="56"/>
        </w:rPr>
      </w:pPr>
      <w:r w:rsidRPr="00FA3A2E">
        <w:rPr>
          <w:rFonts w:cs="Times New Roman"/>
          <w:b/>
          <w:color w:val="000000" w:themeColor="text1"/>
          <w:sz w:val="56"/>
          <w:szCs w:val="56"/>
        </w:rPr>
        <w:t>GRUPO DE TRABALHO</w:t>
      </w:r>
    </w:p>
    <w:p w:rsidR="00C7277E" w:rsidRDefault="00C7277E" w:rsidP="00353A11">
      <w:pPr>
        <w:ind w:firstLine="0"/>
        <w:jc w:val="center"/>
        <w:rPr>
          <w:rFonts w:cs="Times New Roman"/>
          <w:b/>
          <w:color w:val="000000" w:themeColor="text1"/>
          <w:sz w:val="56"/>
          <w:szCs w:val="56"/>
        </w:rPr>
      </w:pPr>
      <w:r>
        <w:rPr>
          <w:rFonts w:cs="Times New Roman"/>
          <w:b/>
          <w:color w:val="000000" w:themeColor="text1"/>
          <w:sz w:val="56"/>
          <w:szCs w:val="56"/>
        </w:rPr>
        <w:t xml:space="preserve">GT </w:t>
      </w:r>
      <w:r w:rsidR="00AB45FC">
        <w:rPr>
          <w:rFonts w:cs="Times New Roman"/>
          <w:b/>
          <w:color w:val="000000" w:themeColor="text1"/>
          <w:sz w:val="56"/>
          <w:szCs w:val="56"/>
        </w:rPr>
        <w:t>25</w:t>
      </w:r>
    </w:p>
    <w:p w:rsidR="00AB45FC" w:rsidRPr="00FA3A2E" w:rsidRDefault="00AB45FC" w:rsidP="00353A11">
      <w:pPr>
        <w:ind w:firstLine="0"/>
        <w:jc w:val="center"/>
        <w:rPr>
          <w:rFonts w:cs="Times New Roman"/>
          <w:b/>
          <w:color w:val="000000" w:themeColor="text1"/>
          <w:sz w:val="56"/>
          <w:szCs w:val="56"/>
        </w:rPr>
      </w:pPr>
      <w:bookmarkStart w:id="0" w:name="_GoBack"/>
      <w:bookmarkEnd w:id="0"/>
    </w:p>
    <w:p w:rsidR="00353A11" w:rsidRPr="00FA3A2E" w:rsidRDefault="00353A11" w:rsidP="00353A11">
      <w:pPr>
        <w:rPr>
          <w:rFonts w:cs="Times New Roman"/>
          <w:color w:val="000000" w:themeColor="text1"/>
          <w:sz w:val="23"/>
          <w:szCs w:val="23"/>
        </w:rPr>
      </w:pPr>
    </w:p>
    <w:p w:rsidR="00353A11" w:rsidRPr="00FA3A2E" w:rsidRDefault="00353A11" w:rsidP="00353A11">
      <w:pPr>
        <w:rPr>
          <w:rFonts w:cs="Times New Roman"/>
          <w:color w:val="000000" w:themeColor="text1"/>
          <w:sz w:val="23"/>
          <w:szCs w:val="23"/>
        </w:rPr>
        <w:sectPr w:rsidR="00353A11" w:rsidRPr="00FA3A2E" w:rsidSect="00A52C1F">
          <w:headerReference w:type="default" r:id="rId8"/>
          <w:pgSz w:w="11906" w:h="16838" w:code="9"/>
          <w:pgMar w:top="1701" w:right="1134" w:bottom="1134" w:left="1701" w:header="709" w:footer="709" w:gutter="0"/>
          <w:pgNumType w:start="16"/>
          <w:cols w:space="708"/>
          <w:docGrid w:linePitch="360"/>
        </w:sectPr>
      </w:pPr>
    </w:p>
    <w:p w:rsidR="00FC4D9E" w:rsidRPr="00FA3A2E" w:rsidRDefault="00FC4D9E" w:rsidP="00353A11">
      <w:pPr>
        <w:ind w:firstLine="0"/>
        <w:rPr>
          <w:rFonts w:cs="Times New Roman"/>
          <w:b/>
          <w:color w:val="000000" w:themeColor="text1"/>
          <w:szCs w:val="24"/>
        </w:rPr>
      </w:pPr>
    </w:p>
    <w:p w:rsidR="00FC4D9E" w:rsidRPr="00FA3A2E" w:rsidRDefault="00FC4D9E" w:rsidP="00353A11">
      <w:pPr>
        <w:ind w:firstLine="0"/>
        <w:rPr>
          <w:rFonts w:cs="Times New Roman"/>
          <w:b/>
          <w:color w:val="000000" w:themeColor="text1"/>
          <w:szCs w:val="24"/>
        </w:rPr>
      </w:pPr>
    </w:p>
    <w:p w:rsidR="00FC4D9E" w:rsidRPr="00FA3A2E" w:rsidRDefault="00FC4D9E" w:rsidP="00353A11">
      <w:pPr>
        <w:ind w:firstLine="0"/>
        <w:rPr>
          <w:rFonts w:cs="Times New Roman"/>
          <w:b/>
          <w:color w:val="000000" w:themeColor="text1"/>
          <w:szCs w:val="24"/>
        </w:rPr>
      </w:pPr>
    </w:p>
    <w:p w:rsidR="004C2DDE" w:rsidRDefault="004C2DDE" w:rsidP="004C2DDE">
      <w:pPr>
        <w:ind w:firstLine="0"/>
        <w:jc w:val="center"/>
        <w:rPr>
          <w:rFonts w:cs="Times New Roman"/>
          <w:b/>
          <w:szCs w:val="24"/>
        </w:rPr>
      </w:pPr>
      <w:r w:rsidRPr="00FF230F">
        <w:rPr>
          <w:rFonts w:cs="Times New Roman"/>
          <w:b/>
          <w:szCs w:val="24"/>
        </w:rPr>
        <w:t xml:space="preserve">ANÁLISE DE DINAMISMO NO MERCADO DE </w:t>
      </w:r>
      <w:r>
        <w:rPr>
          <w:rFonts w:cs="Times New Roman"/>
          <w:b/>
          <w:szCs w:val="24"/>
        </w:rPr>
        <w:t>ENSINO PRIVADO</w:t>
      </w:r>
      <w:r w:rsidRPr="00FF230F">
        <w:rPr>
          <w:rFonts w:cs="Times New Roman"/>
          <w:b/>
          <w:szCs w:val="24"/>
        </w:rPr>
        <w:t xml:space="preserve"> DAS DEZ MAIORES CIDADES DO </w:t>
      </w:r>
      <w:r>
        <w:rPr>
          <w:rFonts w:cs="Times New Roman"/>
          <w:b/>
          <w:szCs w:val="24"/>
        </w:rPr>
        <w:t>MARANHÃO</w:t>
      </w:r>
    </w:p>
    <w:p w:rsidR="00FC4D9E" w:rsidRDefault="00FC4D9E" w:rsidP="00353A11">
      <w:pPr>
        <w:ind w:firstLine="0"/>
        <w:rPr>
          <w:rFonts w:cs="Times New Roman"/>
          <w:b/>
          <w:color w:val="000000" w:themeColor="text1"/>
          <w:szCs w:val="24"/>
        </w:rPr>
      </w:pPr>
    </w:p>
    <w:p w:rsidR="004C2DDE" w:rsidRPr="00FA3A2E" w:rsidRDefault="004C2DDE" w:rsidP="00353A11">
      <w:pPr>
        <w:ind w:firstLine="0"/>
        <w:rPr>
          <w:rFonts w:cs="Times New Roman"/>
          <w:b/>
          <w:color w:val="000000" w:themeColor="text1"/>
          <w:szCs w:val="24"/>
        </w:rPr>
      </w:pPr>
    </w:p>
    <w:p w:rsidR="005F2D2B" w:rsidRPr="00FA3A2E" w:rsidRDefault="005F2D2B" w:rsidP="00353A11">
      <w:pPr>
        <w:ind w:firstLine="0"/>
        <w:rPr>
          <w:rFonts w:cs="Times New Roman"/>
          <w:b/>
          <w:color w:val="000000" w:themeColor="text1"/>
          <w:szCs w:val="24"/>
        </w:rPr>
      </w:pPr>
    </w:p>
    <w:p w:rsidR="00F075B2" w:rsidRPr="00FA3A2E" w:rsidRDefault="00F075B2" w:rsidP="00F075B2">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 xml:space="preserve">Claudia Renata Boni </w:t>
      </w:r>
      <w:r w:rsidRPr="00FA3A2E">
        <w:rPr>
          <w:rFonts w:cs="Times New Roman"/>
          <w:b/>
          <w:noProof/>
          <w:color w:val="000000" w:themeColor="text1"/>
          <w:sz w:val="22"/>
        </w:rPr>
        <w:t>Cadore</w:t>
      </w:r>
      <w:r>
        <w:rPr>
          <w:rFonts w:cs="Times New Roman"/>
          <w:noProof/>
          <w:color w:val="000000" w:themeColor="text1"/>
          <w:sz w:val="22"/>
        </w:rPr>
        <w:t xml:space="preserve"> (</w:t>
      </w:r>
      <w:r w:rsidRPr="00FA3A2E">
        <w:rPr>
          <w:rFonts w:cs="Times New Roman"/>
          <w:noProof/>
          <w:color w:val="000000" w:themeColor="text1"/>
          <w:sz w:val="22"/>
        </w:rPr>
        <w:t>autor</w:t>
      </w:r>
      <w:r>
        <w:rPr>
          <w:rFonts w:cs="Times New Roman"/>
          <w:noProof/>
          <w:color w:val="000000" w:themeColor="text1"/>
          <w:sz w:val="22"/>
        </w:rPr>
        <w:t>a</w:t>
      </w:r>
      <w:r w:rsidRPr="00FA3A2E">
        <w:rPr>
          <w:rFonts w:cs="Times New Roman"/>
          <w:noProof/>
          <w:color w:val="000000" w:themeColor="text1"/>
          <w:sz w:val="22"/>
        </w:rPr>
        <w:t>)</w:t>
      </w:r>
    </w:p>
    <w:p w:rsidR="00F075B2" w:rsidRPr="00FA3A2E" w:rsidRDefault="00F075B2" w:rsidP="00F075B2">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Professor Mestranda em Desenvolvimento Regional</w:t>
      </w:r>
    </w:p>
    <w:p w:rsidR="00F075B2" w:rsidRPr="00FA3A2E" w:rsidRDefault="00F075B2" w:rsidP="00F075B2">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Faculdade de Educação Santa Terezinha – FEST</w:t>
      </w:r>
    </w:p>
    <w:p w:rsidR="00F075B2" w:rsidRPr="00FA3A2E" w:rsidRDefault="00F075B2" w:rsidP="00F075B2">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renatacadore@fest.edu.br</w:t>
      </w:r>
    </w:p>
    <w:p w:rsidR="00F075B2" w:rsidRDefault="00F075B2" w:rsidP="00353A11">
      <w:pPr>
        <w:spacing w:line="240" w:lineRule="auto"/>
        <w:ind w:firstLine="0"/>
        <w:jc w:val="right"/>
        <w:rPr>
          <w:rFonts w:cs="Times New Roman"/>
          <w:noProof/>
          <w:color w:val="000000" w:themeColor="text1"/>
          <w:sz w:val="22"/>
        </w:rPr>
      </w:pPr>
    </w:p>
    <w:p w:rsidR="00F075B2" w:rsidRDefault="00F075B2" w:rsidP="00353A11">
      <w:pPr>
        <w:spacing w:line="240" w:lineRule="auto"/>
        <w:ind w:firstLine="0"/>
        <w:jc w:val="right"/>
        <w:rPr>
          <w:rFonts w:cs="Times New Roman"/>
          <w:noProof/>
          <w:color w:val="000000" w:themeColor="text1"/>
          <w:sz w:val="22"/>
        </w:rPr>
      </w:pP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 xml:space="preserve">Renato </w:t>
      </w:r>
      <w:r w:rsidRPr="00FA3A2E">
        <w:rPr>
          <w:rFonts w:cs="Times New Roman"/>
          <w:b/>
          <w:noProof/>
          <w:color w:val="000000" w:themeColor="text1"/>
          <w:sz w:val="22"/>
        </w:rPr>
        <w:t>Cadore</w:t>
      </w:r>
      <w:r w:rsidRPr="00FA3A2E">
        <w:rPr>
          <w:rFonts w:cs="Times New Roman"/>
          <w:noProof/>
          <w:color w:val="000000" w:themeColor="text1"/>
          <w:sz w:val="22"/>
        </w:rPr>
        <w:t xml:space="preserve"> (</w:t>
      </w:r>
      <w:r w:rsidR="00F075B2">
        <w:rPr>
          <w:rFonts w:cs="Times New Roman"/>
          <w:noProof/>
          <w:color w:val="000000" w:themeColor="text1"/>
          <w:sz w:val="22"/>
        </w:rPr>
        <w:t>co</w:t>
      </w:r>
      <w:r w:rsidRPr="00FA3A2E">
        <w:rPr>
          <w:rFonts w:cs="Times New Roman"/>
          <w:noProof/>
          <w:color w:val="000000" w:themeColor="text1"/>
          <w:sz w:val="22"/>
        </w:rPr>
        <w:t>autor)</w:t>
      </w: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Professor Mestre em Desenvolvimento Regional</w:t>
      </w: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Universidade Estadual da região Tocantina do Maranão - UEMASUL</w:t>
      </w: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Universidade Federal do maranhão – UFMA</w:t>
      </w: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Faculdade de Educação Santa Terezinha – FEST</w:t>
      </w:r>
    </w:p>
    <w:p w:rsidR="00353A11" w:rsidRPr="00FA3A2E" w:rsidRDefault="00353A11" w:rsidP="00353A11">
      <w:pPr>
        <w:spacing w:line="240" w:lineRule="auto"/>
        <w:ind w:firstLine="0"/>
        <w:jc w:val="right"/>
        <w:rPr>
          <w:rFonts w:cs="Times New Roman"/>
          <w:noProof/>
          <w:color w:val="000000" w:themeColor="text1"/>
          <w:sz w:val="22"/>
        </w:rPr>
      </w:pPr>
      <w:r w:rsidRPr="00FA3A2E">
        <w:rPr>
          <w:rFonts w:cs="Times New Roman"/>
          <w:noProof/>
          <w:color w:val="000000" w:themeColor="text1"/>
          <w:sz w:val="22"/>
        </w:rPr>
        <w:t>renatocadore@gmail.com</w:t>
      </w:r>
    </w:p>
    <w:p w:rsidR="00353A11" w:rsidRPr="00FA3A2E" w:rsidRDefault="00353A11" w:rsidP="00353A11">
      <w:pPr>
        <w:spacing w:line="240" w:lineRule="auto"/>
        <w:ind w:firstLine="0"/>
        <w:jc w:val="right"/>
        <w:rPr>
          <w:rFonts w:cs="Times New Roman"/>
          <w:noProof/>
          <w:color w:val="000000" w:themeColor="text1"/>
          <w:sz w:val="22"/>
        </w:rPr>
      </w:pPr>
    </w:p>
    <w:p w:rsidR="005F2D2B" w:rsidRPr="00FA3A2E" w:rsidRDefault="005F2D2B" w:rsidP="00353A11">
      <w:pPr>
        <w:spacing w:line="240" w:lineRule="auto"/>
        <w:ind w:firstLine="0"/>
        <w:jc w:val="right"/>
        <w:rPr>
          <w:rFonts w:cs="Times New Roman"/>
          <w:noProof/>
          <w:color w:val="000000" w:themeColor="text1"/>
          <w:sz w:val="22"/>
        </w:rPr>
      </w:pPr>
    </w:p>
    <w:p w:rsidR="00353A11" w:rsidRPr="00FA3A2E" w:rsidRDefault="00353A11" w:rsidP="00353A11">
      <w:pPr>
        <w:spacing w:line="240" w:lineRule="auto"/>
        <w:ind w:firstLine="0"/>
        <w:jc w:val="right"/>
        <w:rPr>
          <w:rFonts w:cs="Times New Roman"/>
          <w:noProof/>
          <w:color w:val="000000" w:themeColor="text1"/>
          <w:sz w:val="22"/>
        </w:rPr>
      </w:pPr>
    </w:p>
    <w:p w:rsidR="00353A11" w:rsidRDefault="00353A11" w:rsidP="00353A11">
      <w:pPr>
        <w:spacing w:line="240" w:lineRule="auto"/>
        <w:ind w:firstLine="0"/>
        <w:jc w:val="right"/>
        <w:rPr>
          <w:rFonts w:cs="Times New Roman"/>
          <w:noProof/>
          <w:color w:val="000000" w:themeColor="text1"/>
          <w:sz w:val="22"/>
        </w:rPr>
      </w:pPr>
    </w:p>
    <w:p w:rsidR="004C2DDE" w:rsidRPr="00FA3A2E" w:rsidRDefault="004C2DDE" w:rsidP="00353A11">
      <w:pPr>
        <w:spacing w:line="240" w:lineRule="auto"/>
        <w:ind w:firstLine="0"/>
        <w:jc w:val="right"/>
        <w:rPr>
          <w:rFonts w:cs="Times New Roman"/>
          <w:noProof/>
          <w:color w:val="000000" w:themeColor="text1"/>
          <w:sz w:val="22"/>
        </w:rPr>
      </w:pPr>
    </w:p>
    <w:p w:rsidR="00F075B2" w:rsidRDefault="00F075B2" w:rsidP="00F075B2">
      <w:pPr>
        <w:ind w:firstLine="0"/>
        <w:jc w:val="center"/>
        <w:rPr>
          <w:rFonts w:cs="Times New Roman"/>
          <w:b/>
          <w:szCs w:val="24"/>
        </w:rPr>
      </w:pPr>
    </w:p>
    <w:p w:rsidR="00F075B2" w:rsidRDefault="00F075B2" w:rsidP="00F075B2">
      <w:pPr>
        <w:ind w:firstLine="0"/>
        <w:jc w:val="center"/>
        <w:rPr>
          <w:rFonts w:cs="Times New Roman"/>
          <w:b/>
          <w:szCs w:val="24"/>
        </w:rPr>
      </w:pPr>
      <w:r w:rsidRPr="00FF230F">
        <w:rPr>
          <w:rFonts w:cs="Times New Roman"/>
          <w:b/>
          <w:szCs w:val="24"/>
        </w:rPr>
        <w:t>RESUMO</w:t>
      </w:r>
    </w:p>
    <w:p w:rsidR="004C2DDE" w:rsidRPr="00FF230F" w:rsidRDefault="004C2DDE" w:rsidP="00F075B2">
      <w:pPr>
        <w:ind w:firstLine="0"/>
        <w:jc w:val="center"/>
        <w:rPr>
          <w:rFonts w:cs="Times New Roman"/>
          <w:b/>
          <w:szCs w:val="24"/>
        </w:rPr>
      </w:pPr>
    </w:p>
    <w:p w:rsidR="00F075B2" w:rsidRDefault="00F075B2" w:rsidP="00F075B2">
      <w:pPr>
        <w:spacing w:line="240" w:lineRule="auto"/>
        <w:ind w:firstLine="0"/>
        <w:rPr>
          <w:rFonts w:cs="Times New Roman"/>
          <w:sz w:val="20"/>
          <w:szCs w:val="20"/>
        </w:rPr>
      </w:pPr>
      <w:r w:rsidRPr="00FF230F">
        <w:rPr>
          <w:rFonts w:cs="Times New Roman"/>
          <w:sz w:val="20"/>
          <w:szCs w:val="20"/>
        </w:rPr>
        <w:t xml:space="preserve">O </w:t>
      </w:r>
      <w:r>
        <w:rPr>
          <w:rFonts w:cs="Times New Roman"/>
          <w:sz w:val="20"/>
          <w:szCs w:val="20"/>
        </w:rPr>
        <w:t>Ensino Privado</w:t>
      </w:r>
      <w:r w:rsidRPr="00FF230F">
        <w:rPr>
          <w:rFonts w:cs="Times New Roman"/>
          <w:sz w:val="20"/>
          <w:szCs w:val="20"/>
        </w:rPr>
        <w:t xml:space="preserve"> é mercado em </w:t>
      </w:r>
      <w:r>
        <w:rPr>
          <w:rFonts w:cs="Times New Roman"/>
          <w:sz w:val="20"/>
          <w:szCs w:val="20"/>
        </w:rPr>
        <w:t>a</w:t>
      </w:r>
      <w:r w:rsidRPr="00FF230F">
        <w:rPr>
          <w:rFonts w:cs="Times New Roman"/>
          <w:sz w:val="20"/>
          <w:szCs w:val="20"/>
        </w:rPr>
        <w:t xml:space="preserve">scensão no Brasil, de acordo com o INEP sua participação no Ensino de todo o Brasil é crescente, no entanto, é necessário identificar quais cidades de fato apresentam dinamismo nesse setor, assim, a presente pesquisa tem como problema norteador a seguinte questão: </w:t>
      </w:r>
      <w:r>
        <w:rPr>
          <w:rFonts w:cs="Times New Roman"/>
          <w:sz w:val="20"/>
          <w:szCs w:val="20"/>
        </w:rPr>
        <w:t>Quais da</w:t>
      </w:r>
      <w:r w:rsidRPr="00FF230F">
        <w:rPr>
          <w:rFonts w:cs="Times New Roman"/>
          <w:sz w:val="20"/>
          <w:szCs w:val="20"/>
        </w:rPr>
        <w:t xml:space="preserve">s dez maiores cidades do </w:t>
      </w:r>
      <w:r>
        <w:rPr>
          <w:rFonts w:cs="Times New Roman"/>
          <w:sz w:val="20"/>
          <w:szCs w:val="20"/>
        </w:rPr>
        <w:t>Maranhão</w:t>
      </w:r>
      <w:r w:rsidRPr="00FF230F">
        <w:rPr>
          <w:rFonts w:cs="Times New Roman"/>
          <w:sz w:val="20"/>
          <w:szCs w:val="20"/>
        </w:rPr>
        <w:t xml:space="preserve"> apre</w:t>
      </w:r>
      <w:r>
        <w:rPr>
          <w:rFonts w:cs="Times New Roman"/>
          <w:sz w:val="20"/>
          <w:szCs w:val="20"/>
        </w:rPr>
        <w:t>sentam dinamismo no mercado de Ensino Privado</w:t>
      </w:r>
      <w:r w:rsidRPr="00FF230F">
        <w:rPr>
          <w:rFonts w:cs="Times New Roman"/>
          <w:sz w:val="20"/>
          <w:szCs w:val="20"/>
        </w:rPr>
        <w:t xml:space="preserve">? Para responder a essa pergunta foi determinado como objetivo identificar quais das maiores cidades do </w:t>
      </w:r>
      <w:r>
        <w:rPr>
          <w:rFonts w:cs="Times New Roman"/>
          <w:sz w:val="20"/>
          <w:szCs w:val="20"/>
        </w:rPr>
        <w:t>Maranhão</w:t>
      </w:r>
      <w:r w:rsidRPr="00FF230F">
        <w:rPr>
          <w:rFonts w:cs="Times New Roman"/>
          <w:sz w:val="20"/>
          <w:szCs w:val="20"/>
        </w:rPr>
        <w:t xml:space="preserve"> apre</w:t>
      </w:r>
      <w:r>
        <w:rPr>
          <w:rFonts w:cs="Times New Roman"/>
          <w:sz w:val="20"/>
          <w:szCs w:val="20"/>
        </w:rPr>
        <w:t>sentam dinamismo no mercado de Ensino de P</w:t>
      </w:r>
      <w:r w:rsidRPr="00FF230F">
        <w:rPr>
          <w:rFonts w:cs="Times New Roman"/>
          <w:sz w:val="20"/>
          <w:szCs w:val="20"/>
        </w:rPr>
        <w:t xml:space="preserve">rivado. </w:t>
      </w:r>
      <w:r>
        <w:rPr>
          <w:rFonts w:cs="Times New Roman"/>
          <w:sz w:val="20"/>
          <w:szCs w:val="20"/>
        </w:rPr>
        <w:t>Para fundamentar a pesquisa foi realizado um breve levantamento histórico do Ensino Privado no Brasil, bem como uma verificação dos tópicos da Constituição Federal de 1988 que tratam diretamente desse assunto, por fim, foi feito um levantamento bibliográfico junto ao INEP e ao IBGE em busca do número de matrículas total e a rede privada no Brasil e nas 10 maiores cidades do Maranhão, com dados do ano de 2015.</w:t>
      </w:r>
      <w:r w:rsidRPr="00FF230F">
        <w:rPr>
          <w:rFonts w:cs="Times New Roman"/>
          <w:sz w:val="20"/>
          <w:szCs w:val="20"/>
        </w:rPr>
        <w:t xml:space="preserve"> </w:t>
      </w:r>
      <w:r>
        <w:rPr>
          <w:rFonts w:cs="Times New Roman"/>
          <w:sz w:val="20"/>
          <w:szCs w:val="20"/>
        </w:rPr>
        <w:t xml:space="preserve">De posse de tais dados foi calculado o </w:t>
      </w:r>
      <w:r w:rsidRPr="00FF230F">
        <w:rPr>
          <w:rFonts w:cs="Times New Roman"/>
          <w:sz w:val="20"/>
          <w:szCs w:val="20"/>
        </w:rPr>
        <w:t>Quociente Locacional</w:t>
      </w:r>
      <w:r>
        <w:rPr>
          <w:rFonts w:cs="Times New Roman"/>
          <w:sz w:val="20"/>
          <w:szCs w:val="20"/>
        </w:rPr>
        <w:t>, buscando identificar quais cidades possuem ou não dinamismo no mercado de Ensino Privado, tanto no Ensino Fundamental, como no Ensino Médio</w:t>
      </w:r>
      <w:r w:rsidRPr="00FF230F">
        <w:rPr>
          <w:rFonts w:cs="Times New Roman"/>
          <w:sz w:val="20"/>
          <w:szCs w:val="20"/>
        </w:rPr>
        <w:t>. Assim, o trabalho trata-se de uma pesquisa b</w:t>
      </w:r>
      <w:r>
        <w:rPr>
          <w:rFonts w:cs="Times New Roman"/>
          <w:sz w:val="20"/>
          <w:szCs w:val="20"/>
        </w:rPr>
        <w:t>ibliográfica, de método indutivo</w:t>
      </w:r>
      <w:r w:rsidRPr="00FF230F">
        <w:rPr>
          <w:rFonts w:cs="Times New Roman"/>
          <w:sz w:val="20"/>
          <w:szCs w:val="20"/>
        </w:rPr>
        <w:t xml:space="preserve"> e abordagem quantitativa. Por meio dessa pesquisa foi possível concluir que apenas as três maiores cidades do Estado</w:t>
      </w:r>
      <w:r>
        <w:rPr>
          <w:rFonts w:cs="Times New Roman"/>
          <w:sz w:val="20"/>
          <w:szCs w:val="20"/>
        </w:rPr>
        <w:t>,</w:t>
      </w:r>
      <w:r w:rsidRPr="00FF230F">
        <w:rPr>
          <w:rFonts w:cs="Times New Roman"/>
          <w:sz w:val="20"/>
          <w:szCs w:val="20"/>
        </w:rPr>
        <w:t xml:space="preserve"> de fato</w:t>
      </w:r>
      <w:r>
        <w:rPr>
          <w:rFonts w:cs="Times New Roman"/>
          <w:sz w:val="20"/>
          <w:szCs w:val="20"/>
        </w:rPr>
        <w:t>,</w:t>
      </w:r>
      <w:r w:rsidRPr="00FF230F">
        <w:rPr>
          <w:rFonts w:cs="Times New Roman"/>
          <w:sz w:val="20"/>
          <w:szCs w:val="20"/>
        </w:rPr>
        <w:t xml:space="preserve"> apresentam dinamismo no mercado de </w:t>
      </w:r>
      <w:r>
        <w:rPr>
          <w:rFonts w:cs="Times New Roman"/>
          <w:sz w:val="20"/>
          <w:szCs w:val="20"/>
        </w:rPr>
        <w:t>Ensino Privado</w:t>
      </w:r>
      <w:r w:rsidRPr="00FF230F">
        <w:rPr>
          <w:rFonts w:cs="Times New Roman"/>
          <w:sz w:val="20"/>
          <w:szCs w:val="20"/>
        </w:rPr>
        <w:t xml:space="preserve"> para os dois setores</w:t>
      </w:r>
      <w:r>
        <w:rPr>
          <w:rFonts w:cs="Times New Roman"/>
          <w:sz w:val="20"/>
          <w:szCs w:val="20"/>
        </w:rPr>
        <w:t>, fundamental e médio</w:t>
      </w:r>
      <w:r w:rsidRPr="00FF230F">
        <w:rPr>
          <w:rFonts w:cs="Times New Roman"/>
          <w:sz w:val="20"/>
          <w:szCs w:val="20"/>
        </w:rPr>
        <w:t>.</w:t>
      </w:r>
    </w:p>
    <w:p w:rsidR="00F075B2" w:rsidRDefault="00F075B2" w:rsidP="00F075B2">
      <w:pPr>
        <w:spacing w:line="240" w:lineRule="auto"/>
        <w:rPr>
          <w:rFonts w:cs="Times New Roman"/>
          <w:sz w:val="20"/>
          <w:szCs w:val="20"/>
        </w:rPr>
      </w:pPr>
    </w:p>
    <w:p w:rsidR="00F075B2" w:rsidRPr="00FF230F" w:rsidRDefault="00F075B2" w:rsidP="00F075B2">
      <w:pPr>
        <w:spacing w:line="240" w:lineRule="auto"/>
        <w:ind w:firstLine="0"/>
        <w:rPr>
          <w:rFonts w:cs="Times New Roman"/>
          <w:sz w:val="20"/>
          <w:szCs w:val="20"/>
        </w:rPr>
      </w:pPr>
      <w:r w:rsidRPr="00FF230F">
        <w:rPr>
          <w:rFonts w:cs="Times New Roman"/>
          <w:b/>
          <w:sz w:val="20"/>
          <w:szCs w:val="20"/>
        </w:rPr>
        <w:t>PALAVRAS – CHAVES:</w:t>
      </w:r>
      <w:r>
        <w:rPr>
          <w:rFonts w:cs="Times New Roman"/>
          <w:sz w:val="20"/>
          <w:szCs w:val="20"/>
        </w:rPr>
        <w:t xml:space="preserve"> Ensino Privado. Maranhão. Dinamismo. Desenvolvimento Regional.</w:t>
      </w:r>
    </w:p>
    <w:p w:rsidR="00F075B2" w:rsidRDefault="00F075B2" w:rsidP="00F075B2">
      <w:pPr>
        <w:rPr>
          <w:rFonts w:cs="Times New Roman"/>
          <w:szCs w:val="24"/>
        </w:rPr>
      </w:pPr>
    </w:p>
    <w:p w:rsidR="00F075B2" w:rsidRDefault="00F075B2" w:rsidP="00F075B2">
      <w:pPr>
        <w:ind w:firstLine="0"/>
        <w:rPr>
          <w:rFonts w:cs="Times New Roman"/>
          <w:b/>
          <w:szCs w:val="24"/>
        </w:rPr>
      </w:pPr>
    </w:p>
    <w:p w:rsidR="00F075B2" w:rsidRDefault="00F075B2" w:rsidP="00F075B2">
      <w:pPr>
        <w:ind w:firstLine="0"/>
        <w:rPr>
          <w:rFonts w:cs="Times New Roman"/>
          <w:b/>
          <w:szCs w:val="24"/>
        </w:rPr>
      </w:pPr>
    </w:p>
    <w:p w:rsidR="00F075B2" w:rsidRPr="00FF230F" w:rsidRDefault="004C2DDE" w:rsidP="00F075B2">
      <w:pPr>
        <w:ind w:firstLine="0"/>
        <w:rPr>
          <w:rFonts w:cs="Times New Roman"/>
          <w:b/>
          <w:szCs w:val="24"/>
        </w:rPr>
      </w:pPr>
      <w:r>
        <w:rPr>
          <w:rFonts w:cs="Times New Roman"/>
          <w:b/>
          <w:szCs w:val="24"/>
        </w:rPr>
        <w:lastRenderedPageBreak/>
        <w:t xml:space="preserve">1 </w:t>
      </w:r>
      <w:r w:rsidR="00F075B2" w:rsidRPr="00FF230F">
        <w:rPr>
          <w:rFonts w:cs="Times New Roman"/>
          <w:b/>
          <w:szCs w:val="24"/>
        </w:rPr>
        <w:t>INTRODUÇÃO</w:t>
      </w:r>
    </w:p>
    <w:p w:rsidR="00F075B2" w:rsidRPr="005D04D0" w:rsidRDefault="00F075B2" w:rsidP="00F075B2">
      <w:pPr>
        <w:rPr>
          <w:rFonts w:cs="Times New Roman"/>
          <w:szCs w:val="24"/>
        </w:rPr>
      </w:pPr>
    </w:p>
    <w:p w:rsidR="00F075B2" w:rsidRPr="005D04D0" w:rsidRDefault="00F075B2" w:rsidP="00F075B2">
      <w:pPr>
        <w:rPr>
          <w:rFonts w:cs="Times New Roman"/>
          <w:szCs w:val="24"/>
        </w:rPr>
      </w:pPr>
      <w:r w:rsidRPr="005D04D0">
        <w:rPr>
          <w:rFonts w:cs="Times New Roman"/>
          <w:szCs w:val="24"/>
        </w:rPr>
        <w:t xml:space="preserve">Em 2015 o </w:t>
      </w:r>
      <w:r>
        <w:rPr>
          <w:rFonts w:cs="Times New Roman"/>
          <w:szCs w:val="24"/>
        </w:rPr>
        <w:t>Ensino Privado</w:t>
      </w:r>
      <w:r w:rsidRPr="005D04D0">
        <w:rPr>
          <w:rFonts w:cs="Times New Roman"/>
          <w:szCs w:val="24"/>
        </w:rPr>
        <w:t xml:space="preserve"> compreendia por cerca de 21% das escolas do Brasil, além de ser responsável por 15% das matriculas no País, assim, o ensino oferecido pela iniciativa privada possui destaque e relevância para a educação do país. Por não depender dos recursos públicos, o </w:t>
      </w:r>
      <w:r>
        <w:rPr>
          <w:rFonts w:cs="Times New Roman"/>
          <w:szCs w:val="24"/>
        </w:rPr>
        <w:t>Ensino Privado</w:t>
      </w:r>
      <w:r w:rsidRPr="005D04D0">
        <w:rPr>
          <w:rFonts w:cs="Times New Roman"/>
          <w:szCs w:val="24"/>
        </w:rPr>
        <w:t xml:space="preserve"> possui mais agilidade na inovação tecnológica e na adaptação de novas metodologias de ensino, por se tratar de um mercado de concorrência, as instituições estão constantemente buscando destaque no mercado, melhorando cada vez mais a qualidade do serviço ofertado.</w:t>
      </w:r>
    </w:p>
    <w:p w:rsidR="00F075B2" w:rsidRPr="005D04D0" w:rsidRDefault="00F075B2" w:rsidP="00F075B2">
      <w:pPr>
        <w:rPr>
          <w:rFonts w:cs="Times New Roman"/>
          <w:szCs w:val="24"/>
        </w:rPr>
      </w:pPr>
      <w:r w:rsidRPr="005D04D0">
        <w:rPr>
          <w:rFonts w:cs="Times New Roman"/>
          <w:szCs w:val="24"/>
        </w:rPr>
        <w:t>Dessa forma, ao analisar a educação de uma cidade é</w:t>
      </w:r>
      <w:r>
        <w:rPr>
          <w:rFonts w:cs="Times New Roman"/>
          <w:szCs w:val="24"/>
        </w:rPr>
        <w:t xml:space="preserve"> importante observar como está </w:t>
      </w:r>
      <w:r w:rsidRPr="005D04D0">
        <w:rPr>
          <w:rFonts w:cs="Times New Roman"/>
          <w:szCs w:val="24"/>
        </w:rPr>
        <w:t xml:space="preserve">se desenvolvendo o </w:t>
      </w:r>
      <w:r>
        <w:rPr>
          <w:rFonts w:cs="Times New Roman"/>
          <w:szCs w:val="24"/>
        </w:rPr>
        <w:t>Ensino Privado</w:t>
      </w:r>
      <w:r w:rsidRPr="005D04D0">
        <w:rPr>
          <w:rFonts w:cs="Times New Roman"/>
          <w:szCs w:val="24"/>
        </w:rPr>
        <w:t xml:space="preserve"> nessa região, mediante tal fato, é que surgiu o seguinte problema: </w:t>
      </w:r>
      <w:r>
        <w:rPr>
          <w:rFonts w:cs="Times New Roman"/>
          <w:szCs w:val="24"/>
        </w:rPr>
        <w:t>Quais das</w:t>
      </w:r>
      <w:r w:rsidRPr="005D04D0">
        <w:rPr>
          <w:rFonts w:cs="Times New Roman"/>
          <w:szCs w:val="24"/>
        </w:rPr>
        <w:t xml:space="preserve"> dez maiores cidades do </w:t>
      </w:r>
      <w:r>
        <w:rPr>
          <w:rFonts w:cs="Times New Roman"/>
          <w:szCs w:val="24"/>
        </w:rPr>
        <w:t>Maranhão</w:t>
      </w:r>
      <w:r w:rsidRPr="005D04D0">
        <w:rPr>
          <w:rFonts w:cs="Times New Roman"/>
          <w:szCs w:val="24"/>
        </w:rPr>
        <w:t xml:space="preserve"> apresentam dinamismo no mercado de </w:t>
      </w:r>
      <w:r>
        <w:rPr>
          <w:rFonts w:cs="Times New Roman"/>
          <w:szCs w:val="24"/>
        </w:rPr>
        <w:t>Ensino Privado</w:t>
      </w:r>
      <w:r w:rsidRPr="005D04D0">
        <w:rPr>
          <w:rFonts w:cs="Times New Roman"/>
          <w:szCs w:val="24"/>
        </w:rPr>
        <w:t xml:space="preserve">? Para responder a essa indagação foi feito um levantamento do número de matricula no Brasil e nas dez maiores cidades do </w:t>
      </w:r>
      <w:r>
        <w:rPr>
          <w:rFonts w:cs="Times New Roman"/>
          <w:szCs w:val="24"/>
        </w:rPr>
        <w:t>Maranhão</w:t>
      </w:r>
      <w:r w:rsidRPr="005D04D0">
        <w:rPr>
          <w:rFonts w:cs="Times New Roman"/>
          <w:szCs w:val="24"/>
        </w:rPr>
        <w:t xml:space="preserve">, de forma que foi possível elaborar um Quociente Locacional do </w:t>
      </w:r>
      <w:r>
        <w:rPr>
          <w:rFonts w:cs="Times New Roman"/>
          <w:szCs w:val="24"/>
        </w:rPr>
        <w:t>Ensino Privado</w:t>
      </w:r>
      <w:r w:rsidRPr="005D04D0">
        <w:rPr>
          <w:rFonts w:cs="Times New Roman"/>
          <w:szCs w:val="24"/>
        </w:rPr>
        <w:t xml:space="preserve"> de cada cidade, buscando verificar quais dessas cidades apresentam dinamismo nesse mercado.</w:t>
      </w:r>
    </w:p>
    <w:p w:rsidR="00F075B2" w:rsidRPr="005D04D0" w:rsidRDefault="00F075B2" w:rsidP="00F075B2">
      <w:pPr>
        <w:rPr>
          <w:rFonts w:cs="Times New Roman"/>
          <w:szCs w:val="24"/>
        </w:rPr>
      </w:pPr>
      <w:r w:rsidRPr="005D04D0">
        <w:rPr>
          <w:rFonts w:cs="Times New Roman"/>
          <w:szCs w:val="24"/>
        </w:rPr>
        <w:t xml:space="preserve">Assim, o objetivo geral do trabalho foi identificar quais das maiores cidades do </w:t>
      </w:r>
      <w:r>
        <w:rPr>
          <w:rFonts w:cs="Times New Roman"/>
          <w:szCs w:val="24"/>
        </w:rPr>
        <w:t>Maranhão</w:t>
      </w:r>
      <w:r w:rsidRPr="005D04D0">
        <w:rPr>
          <w:rFonts w:cs="Times New Roman"/>
          <w:szCs w:val="24"/>
        </w:rPr>
        <w:t xml:space="preserve"> apresentam dinamismo no mercado de ensino de privado. Para alcançar esse objetivo foram determinados três objetivos específicos: Levantar um breve histórico do </w:t>
      </w:r>
      <w:r>
        <w:rPr>
          <w:rFonts w:cs="Times New Roman"/>
          <w:szCs w:val="24"/>
        </w:rPr>
        <w:t>Ensino Privado</w:t>
      </w:r>
      <w:r w:rsidRPr="005D04D0">
        <w:rPr>
          <w:rFonts w:cs="Times New Roman"/>
          <w:szCs w:val="24"/>
        </w:rPr>
        <w:t xml:space="preserve"> no Brasil; Conhecer a legislação que rege o </w:t>
      </w:r>
      <w:r>
        <w:rPr>
          <w:rFonts w:cs="Times New Roman"/>
          <w:szCs w:val="24"/>
        </w:rPr>
        <w:t>Ensino Privado</w:t>
      </w:r>
      <w:r w:rsidRPr="005D04D0">
        <w:rPr>
          <w:rFonts w:cs="Times New Roman"/>
          <w:szCs w:val="24"/>
        </w:rPr>
        <w:t xml:space="preserve"> no Brasil e Calcular os Quocientes Locacionais do </w:t>
      </w:r>
      <w:r>
        <w:rPr>
          <w:rFonts w:cs="Times New Roman"/>
          <w:szCs w:val="24"/>
        </w:rPr>
        <w:t>Ensino Privado</w:t>
      </w:r>
      <w:r w:rsidRPr="005D04D0">
        <w:rPr>
          <w:rFonts w:cs="Times New Roman"/>
          <w:szCs w:val="24"/>
        </w:rPr>
        <w:t xml:space="preserve"> nas dez maiores cidades do </w:t>
      </w:r>
      <w:r>
        <w:rPr>
          <w:rFonts w:cs="Times New Roman"/>
          <w:szCs w:val="24"/>
        </w:rPr>
        <w:t>Maranhão</w:t>
      </w:r>
      <w:r w:rsidRPr="005D04D0">
        <w:rPr>
          <w:rFonts w:cs="Times New Roman"/>
          <w:szCs w:val="24"/>
        </w:rPr>
        <w:t>.</w:t>
      </w:r>
    </w:p>
    <w:p w:rsidR="00F075B2" w:rsidRPr="005D04D0" w:rsidRDefault="00F075B2" w:rsidP="00F075B2">
      <w:pPr>
        <w:rPr>
          <w:rFonts w:cs="Times New Roman"/>
          <w:szCs w:val="24"/>
        </w:rPr>
      </w:pPr>
      <w:r w:rsidRPr="005D04D0">
        <w:rPr>
          <w:rFonts w:cs="Times New Roman"/>
          <w:szCs w:val="24"/>
        </w:rPr>
        <w:t xml:space="preserve">Ressalta-se que o presente trabalho </w:t>
      </w:r>
      <w:r w:rsidRPr="005D04D0">
        <w:rPr>
          <w:rFonts w:cs="Times New Roman"/>
          <w:szCs w:val="24"/>
        </w:rPr>
        <w:t>se trata</w:t>
      </w:r>
      <w:r w:rsidRPr="005D04D0">
        <w:rPr>
          <w:rFonts w:cs="Times New Roman"/>
          <w:szCs w:val="24"/>
        </w:rPr>
        <w:t xml:space="preserve"> de uma pesquisa bibliográfica, realizada a partir dos dados disponibilizados pelo INEP e pelo IBGE.  Por utilizar um método estatístico de interpretação dos dados, trata-se de uma pesquisa quantitativa, de método dedutivo.</w:t>
      </w:r>
    </w:p>
    <w:p w:rsidR="00F075B2" w:rsidRPr="005D04D0" w:rsidRDefault="00F075B2" w:rsidP="00F075B2">
      <w:pPr>
        <w:rPr>
          <w:rFonts w:cs="Times New Roman"/>
          <w:szCs w:val="24"/>
        </w:rPr>
      </w:pPr>
      <w:r w:rsidRPr="005D04D0">
        <w:rPr>
          <w:rFonts w:cs="Times New Roman"/>
          <w:szCs w:val="24"/>
        </w:rPr>
        <w:t>O trabalho está divido e três partes pequenas pa</w:t>
      </w:r>
      <w:r>
        <w:rPr>
          <w:rFonts w:cs="Times New Roman"/>
          <w:szCs w:val="24"/>
        </w:rPr>
        <w:t>rtes, sendo que, a primeira traz</w:t>
      </w:r>
      <w:r w:rsidRPr="005D04D0">
        <w:rPr>
          <w:rFonts w:cs="Times New Roman"/>
          <w:szCs w:val="24"/>
        </w:rPr>
        <w:t xml:space="preserve"> um breve histórico do </w:t>
      </w:r>
      <w:r>
        <w:rPr>
          <w:rFonts w:cs="Times New Roman"/>
          <w:szCs w:val="24"/>
        </w:rPr>
        <w:t>Ensino Privado</w:t>
      </w:r>
      <w:r w:rsidRPr="005D04D0">
        <w:rPr>
          <w:rFonts w:cs="Times New Roman"/>
          <w:szCs w:val="24"/>
        </w:rPr>
        <w:t xml:space="preserve"> no Brasil, a segunda parte faz uma leve verificação da legislação vigente que trata do </w:t>
      </w:r>
      <w:r>
        <w:rPr>
          <w:rFonts w:cs="Times New Roman"/>
          <w:szCs w:val="24"/>
        </w:rPr>
        <w:t>Ensino Privado</w:t>
      </w:r>
      <w:r w:rsidRPr="005D04D0">
        <w:rPr>
          <w:rFonts w:cs="Times New Roman"/>
          <w:szCs w:val="24"/>
        </w:rPr>
        <w:t>, e a terceira parte apresenta Quocientes Locacionais de cada cidade.</w:t>
      </w:r>
    </w:p>
    <w:p w:rsidR="00F075B2" w:rsidRPr="005D04D0" w:rsidRDefault="00F075B2" w:rsidP="00F075B2">
      <w:pPr>
        <w:rPr>
          <w:rFonts w:cs="Times New Roman"/>
          <w:szCs w:val="24"/>
        </w:rPr>
      </w:pPr>
    </w:p>
    <w:p w:rsidR="00F075B2" w:rsidRPr="00FF230F" w:rsidRDefault="004C2DDE" w:rsidP="00F075B2">
      <w:pPr>
        <w:ind w:firstLine="0"/>
        <w:rPr>
          <w:rFonts w:cs="Times New Roman"/>
          <w:b/>
          <w:szCs w:val="24"/>
        </w:rPr>
      </w:pPr>
      <w:r>
        <w:rPr>
          <w:rFonts w:cs="Times New Roman"/>
          <w:b/>
          <w:szCs w:val="24"/>
        </w:rPr>
        <w:t>2</w:t>
      </w:r>
      <w:r w:rsidR="00F075B2">
        <w:rPr>
          <w:rFonts w:cs="Times New Roman"/>
          <w:b/>
          <w:szCs w:val="24"/>
        </w:rPr>
        <w:t xml:space="preserve"> </w:t>
      </w:r>
      <w:r w:rsidR="00F075B2" w:rsidRPr="00FF230F">
        <w:rPr>
          <w:rFonts w:cs="Times New Roman"/>
          <w:b/>
          <w:szCs w:val="24"/>
        </w:rPr>
        <w:t xml:space="preserve">O </w:t>
      </w:r>
      <w:r w:rsidR="00F075B2">
        <w:rPr>
          <w:rFonts w:cs="Times New Roman"/>
          <w:b/>
          <w:szCs w:val="24"/>
        </w:rPr>
        <w:t>ENSINO PRIVADO</w:t>
      </w:r>
      <w:r w:rsidR="00F075B2" w:rsidRPr="00FF230F">
        <w:rPr>
          <w:rFonts w:cs="Times New Roman"/>
          <w:b/>
          <w:szCs w:val="24"/>
        </w:rPr>
        <w:t xml:space="preserve"> NO BRASIL</w:t>
      </w:r>
    </w:p>
    <w:p w:rsidR="00F075B2" w:rsidRPr="005D04D0" w:rsidRDefault="00F075B2" w:rsidP="00F075B2">
      <w:pPr>
        <w:rPr>
          <w:rFonts w:cs="Times New Roman"/>
          <w:szCs w:val="24"/>
        </w:rPr>
      </w:pPr>
    </w:p>
    <w:p w:rsidR="00F075B2" w:rsidRPr="005D04D0" w:rsidRDefault="00F075B2" w:rsidP="00F075B2">
      <w:pPr>
        <w:rPr>
          <w:rFonts w:cs="Times New Roman"/>
          <w:szCs w:val="24"/>
        </w:rPr>
      </w:pPr>
      <w:r w:rsidRPr="005D04D0">
        <w:rPr>
          <w:rFonts w:cs="Times New Roman"/>
          <w:szCs w:val="24"/>
        </w:rPr>
        <w:t xml:space="preserve">A iniciativa privada é qualquer atividade que não possui participação do Estado, assim, por </w:t>
      </w:r>
      <w:r>
        <w:rPr>
          <w:rFonts w:cs="Times New Roman"/>
          <w:szCs w:val="24"/>
        </w:rPr>
        <w:t>Ensino Privado</w:t>
      </w:r>
      <w:r w:rsidRPr="005D04D0">
        <w:rPr>
          <w:rFonts w:cs="Times New Roman"/>
          <w:szCs w:val="24"/>
        </w:rPr>
        <w:t>, caracteriza-se o ensino que não é ofertado pelo poder público, havendo inclusive, a necessidade de remuneração pelo serviço.</w:t>
      </w:r>
    </w:p>
    <w:p w:rsidR="00F075B2" w:rsidRPr="005D04D0" w:rsidRDefault="00F075B2" w:rsidP="00F075B2">
      <w:pPr>
        <w:rPr>
          <w:rFonts w:cs="Times New Roman"/>
          <w:szCs w:val="24"/>
        </w:rPr>
      </w:pPr>
      <w:r w:rsidRPr="005D04D0">
        <w:rPr>
          <w:rFonts w:cs="Times New Roman"/>
          <w:szCs w:val="24"/>
        </w:rPr>
        <w:lastRenderedPageBreak/>
        <w:t xml:space="preserve">A história do </w:t>
      </w:r>
      <w:r>
        <w:rPr>
          <w:rFonts w:cs="Times New Roman"/>
          <w:szCs w:val="24"/>
        </w:rPr>
        <w:t>Ensino Privado</w:t>
      </w:r>
      <w:r w:rsidRPr="005D04D0">
        <w:rPr>
          <w:rFonts w:cs="Times New Roman"/>
          <w:szCs w:val="24"/>
        </w:rPr>
        <w:t xml:space="preserve"> no Brasil é tão antiga quanto sua colonização, haja vista que, as primeiras instituições de </w:t>
      </w:r>
      <w:r>
        <w:rPr>
          <w:rFonts w:cs="Times New Roman"/>
          <w:szCs w:val="24"/>
        </w:rPr>
        <w:t>Ensino Privado</w:t>
      </w:r>
      <w:r w:rsidRPr="005D04D0">
        <w:rPr>
          <w:rFonts w:cs="Times New Roman"/>
          <w:szCs w:val="24"/>
        </w:rPr>
        <w:t xml:space="preserve"> provêm deste período (ALVES, 2009). A </w:t>
      </w:r>
      <w:r>
        <w:rPr>
          <w:rFonts w:cs="Times New Roman"/>
          <w:szCs w:val="24"/>
        </w:rPr>
        <w:t>C</w:t>
      </w:r>
      <w:r w:rsidRPr="005D04D0">
        <w:rPr>
          <w:rFonts w:cs="Times New Roman"/>
          <w:szCs w:val="24"/>
        </w:rPr>
        <w:t xml:space="preserve">ompanhia de Jesus foi enviada ao Brasil com intuito de catequizar e educar os nativos da região, no entanto, os jesuítas também foram os responsáveis por fundar as primeiras instituições de </w:t>
      </w:r>
      <w:r>
        <w:rPr>
          <w:rFonts w:cs="Times New Roman"/>
          <w:szCs w:val="24"/>
        </w:rPr>
        <w:t>Ensino Privado</w:t>
      </w:r>
      <w:r w:rsidRPr="005D04D0">
        <w:rPr>
          <w:rFonts w:cs="Times New Roman"/>
          <w:szCs w:val="24"/>
        </w:rPr>
        <w:t>, ofertado aos filhos dos senhores, uma classe financeiramente privilegiada no país.</w:t>
      </w:r>
    </w:p>
    <w:p w:rsidR="00F075B2" w:rsidRPr="005D04D0" w:rsidRDefault="00F075B2" w:rsidP="00F075B2">
      <w:pPr>
        <w:rPr>
          <w:rFonts w:cs="Times New Roman"/>
          <w:szCs w:val="24"/>
        </w:rPr>
      </w:pPr>
      <w:r w:rsidRPr="005D04D0">
        <w:rPr>
          <w:rFonts w:cs="Times New Roman"/>
          <w:szCs w:val="24"/>
        </w:rPr>
        <w:t xml:space="preserve">Com o advento do Iluminismo e os conflitos entre a Igreja e o Estado no Brasil, Marquês de </w:t>
      </w:r>
      <w:proofErr w:type="spellStart"/>
      <w:r w:rsidRPr="005D04D0">
        <w:rPr>
          <w:rFonts w:cs="Times New Roman"/>
          <w:szCs w:val="24"/>
        </w:rPr>
        <w:t>Pompal</w:t>
      </w:r>
      <w:proofErr w:type="spellEnd"/>
      <w:r>
        <w:rPr>
          <w:rFonts w:cs="Times New Roman"/>
          <w:szCs w:val="24"/>
        </w:rPr>
        <w:t xml:space="preserve"> promoveu a conhecida Reforma P</w:t>
      </w:r>
      <w:r w:rsidRPr="005D04D0">
        <w:rPr>
          <w:rFonts w:cs="Times New Roman"/>
          <w:szCs w:val="24"/>
        </w:rPr>
        <w:t>ombalina que, entre outras coisas, instituía o ensino púbico e gratuito no Brasil, tendo com isso, expulsado os jesuítas do País.</w:t>
      </w:r>
    </w:p>
    <w:p w:rsidR="00F075B2" w:rsidRPr="005D04D0" w:rsidRDefault="00F075B2" w:rsidP="00F075B2">
      <w:pPr>
        <w:rPr>
          <w:rFonts w:cs="Times New Roman"/>
          <w:szCs w:val="24"/>
        </w:rPr>
      </w:pPr>
      <w:r w:rsidRPr="005D04D0">
        <w:rPr>
          <w:rFonts w:cs="Times New Roman"/>
          <w:szCs w:val="24"/>
        </w:rPr>
        <w:t xml:space="preserve">No entanto, a insuficiência do Estado em prover os recursos necessários para um ensino e quantidade e qualidade suficiente abriram espaço para o </w:t>
      </w:r>
      <w:r>
        <w:rPr>
          <w:rFonts w:cs="Times New Roman"/>
          <w:szCs w:val="24"/>
        </w:rPr>
        <w:t>Ensino Privado</w:t>
      </w:r>
      <w:r w:rsidRPr="005D04D0">
        <w:rPr>
          <w:rFonts w:cs="Times New Roman"/>
          <w:szCs w:val="24"/>
        </w:rPr>
        <w:t xml:space="preserve"> no Ato Adicional da constituição em 1834, tento assim, lançado as bases para o modelo de </w:t>
      </w:r>
      <w:r>
        <w:rPr>
          <w:rFonts w:cs="Times New Roman"/>
          <w:szCs w:val="24"/>
        </w:rPr>
        <w:t>Ensino Privado</w:t>
      </w:r>
      <w:r w:rsidRPr="005D04D0">
        <w:rPr>
          <w:rFonts w:cs="Times New Roman"/>
          <w:szCs w:val="24"/>
        </w:rPr>
        <w:t xml:space="preserve"> utilizado no Brasil </w:t>
      </w:r>
      <w:r>
        <w:rPr>
          <w:rFonts w:cs="Times New Roman"/>
          <w:szCs w:val="24"/>
        </w:rPr>
        <w:t>e do dualismo da educação existente até a atualidade.</w:t>
      </w:r>
    </w:p>
    <w:p w:rsidR="00F075B2" w:rsidRDefault="00F075B2" w:rsidP="00F075B2">
      <w:pPr>
        <w:rPr>
          <w:rFonts w:cs="Times New Roman"/>
          <w:szCs w:val="24"/>
        </w:rPr>
      </w:pPr>
    </w:p>
    <w:p w:rsidR="00F075B2" w:rsidRPr="00FF230F" w:rsidRDefault="004C2DDE" w:rsidP="00F075B2">
      <w:pPr>
        <w:ind w:firstLine="0"/>
        <w:rPr>
          <w:rFonts w:cs="Times New Roman"/>
          <w:b/>
          <w:szCs w:val="24"/>
        </w:rPr>
      </w:pPr>
      <w:r>
        <w:rPr>
          <w:rFonts w:cs="Times New Roman"/>
          <w:b/>
          <w:szCs w:val="24"/>
        </w:rPr>
        <w:t>3</w:t>
      </w:r>
      <w:r w:rsidR="00F075B2">
        <w:rPr>
          <w:rFonts w:cs="Times New Roman"/>
          <w:b/>
          <w:szCs w:val="24"/>
        </w:rPr>
        <w:t xml:space="preserve"> </w:t>
      </w:r>
      <w:r w:rsidR="00F075B2" w:rsidRPr="00FF230F">
        <w:rPr>
          <w:rFonts w:cs="Times New Roman"/>
          <w:b/>
          <w:szCs w:val="24"/>
        </w:rPr>
        <w:t xml:space="preserve">A LEGISLAÇÃO SOBRE O </w:t>
      </w:r>
      <w:r w:rsidR="00F075B2">
        <w:rPr>
          <w:rFonts w:cs="Times New Roman"/>
          <w:b/>
          <w:szCs w:val="24"/>
        </w:rPr>
        <w:t>ENSINO PRIVADO</w:t>
      </w:r>
    </w:p>
    <w:p w:rsidR="00F075B2" w:rsidRPr="005D04D0" w:rsidRDefault="00F075B2" w:rsidP="00F075B2">
      <w:pPr>
        <w:rPr>
          <w:rFonts w:cs="Times New Roman"/>
          <w:szCs w:val="24"/>
        </w:rPr>
      </w:pPr>
    </w:p>
    <w:p w:rsidR="00F075B2" w:rsidRDefault="00F075B2" w:rsidP="00F075B2">
      <w:pPr>
        <w:rPr>
          <w:rFonts w:cs="Times New Roman"/>
          <w:szCs w:val="24"/>
        </w:rPr>
      </w:pPr>
      <w:r>
        <w:rPr>
          <w:rFonts w:cs="Times New Roman"/>
          <w:szCs w:val="24"/>
        </w:rPr>
        <w:t>A Constituição Federal de 1988 estabelece que como princípio da educação o pluralismo de ideias e concepções pedagógicas e a coexistência de instituições públicas e privadas. Tal princípio foi novamente explicitado e desdobrado na Lei 9.394 que estabelece as Diretrizes e Bases da Educação Brasileira, também conhecida como LDB.</w:t>
      </w:r>
    </w:p>
    <w:p w:rsidR="00F075B2" w:rsidRDefault="00F075B2" w:rsidP="00F075B2">
      <w:pPr>
        <w:pStyle w:val="SemEspaamento"/>
      </w:pPr>
    </w:p>
    <w:p w:rsidR="00F075B2" w:rsidRPr="00F075B2" w:rsidRDefault="00F075B2" w:rsidP="00F075B2">
      <w:pPr>
        <w:pStyle w:val="SemEspaamento"/>
        <w:ind w:left="2268"/>
        <w:jc w:val="both"/>
        <w:rPr>
          <w:rFonts w:ascii="Times New Roman" w:hAnsi="Times New Roman" w:cs="Times New Roman"/>
          <w:sz w:val="20"/>
          <w:szCs w:val="20"/>
        </w:rPr>
      </w:pPr>
      <w:r w:rsidRPr="00F075B2">
        <w:rPr>
          <w:rFonts w:ascii="Times New Roman" w:hAnsi="Times New Roman" w:cs="Times New Roman"/>
          <w:sz w:val="20"/>
          <w:szCs w:val="20"/>
        </w:rPr>
        <w:t>Art. 205. A educação, direito de todos e dever do Estado e da família, será promovida e incentivada com a colaboração da sociedade, visando ao pleno desenvolvimento da pessoa, seu preparo para o exercício da cidadania e sua qualificação para o trabalho.</w:t>
      </w:r>
    </w:p>
    <w:p w:rsidR="00F075B2" w:rsidRPr="00F075B2" w:rsidRDefault="00F075B2" w:rsidP="00F075B2">
      <w:pPr>
        <w:pStyle w:val="SemEspaamento"/>
        <w:ind w:left="2268"/>
        <w:jc w:val="both"/>
        <w:rPr>
          <w:rFonts w:ascii="Times New Roman" w:hAnsi="Times New Roman" w:cs="Times New Roman"/>
          <w:sz w:val="20"/>
          <w:szCs w:val="20"/>
        </w:rPr>
      </w:pPr>
      <w:bookmarkStart w:id="1" w:name="art206"/>
      <w:bookmarkEnd w:id="1"/>
      <w:r w:rsidRPr="00F075B2">
        <w:rPr>
          <w:rFonts w:ascii="Times New Roman" w:hAnsi="Times New Roman" w:cs="Times New Roman"/>
          <w:sz w:val="20"/>
          <w:szCs w:val="20"/>
        </w:rPr>
        <w:t>Art. 206. O ensino será ministrado com base nos seguintes princípios:</w:t>
      </w:r>
    </w:p>
    <w:p w:rsidR="00F075B2" w:rsidRPr="00F075B2" w:rsidRDefault="00F075B2" w:rsidP="00F075B2">
      <w:pPr>
        <w:pStyle w:val="SemEspaamento"/>
        <w:ind w:left="2268"/>
        <w:jc w:val="both"/>
        <w:rPr>
          <w:rFonts w:ascii="Times New Roman" w:hAnsi="Times New Roman" w:cs="Times New Roman"/>
          <w:sz w:val="20"/>
          <w:szCs w:val="20"/>
        </w:rPr>
      </w:pPr>
      <w:bookmarkStart w:id="2" w:name="art206i"/>
      <w:bookmarkEnd w:id="2"/>
      <w:r w:rsidRPr="00F075B2">
        <w:rPr>
          <w:rFonts w:ascii="Times New Roman" w:hAnsi="Times New Roman" w:cs="Times New Roman"/>
          <w:sz w:val="20"/>
          <w:szCs w:val="20"/>
        </w:rPr>
        <w:t xml:space="preserve">I - </w:t>
      </w:r>
      <w:proofErr w:type="gramStart"/>
      <w:r w:rsidRPr="00F075B2">
        <w:rPr>
          <w:rFonts w:ascii="Times New Roman" w:hAnsi="Times New Roman" w:cs="Times New Roman"/>
          <w:sz w:val="20"/>
          <w:szCs w:val="20"/>
        </w:rPr>
        <w:t>igualdade</w:t>
      </w:r>
      <w:proofErr w:type="gramEnd"/>
      <w:r w:rsidRPr="00F075B2">
        <w:rPr>
          <w:rFonts w:ascii="Times New Roman" w:hAnsi="Times New Roman" w:cs="Times New Roman"/>
          <w:sz w:val="20"/>
          <w:szCs w:val="20"/>
        </w:rPr>
        <w:t xml:space="preserve"> de condições para o acesso e permanência na escola;</w:t>
      </w:r>
    </w:p>
    <w:p w:rsidR="00F075B2" w:rsidRPr="00F075B2" w:rsidRDefault="00F075B2" w:rsidP="00F075B2">
      <w:pPr>
        <w:pStyle w:val="SemEspaamento"/>
        <w:ind w:left="2268"/>
        <w:jc w:val="both"/>
        <w:rPr>
          <w:rFonts w:ascii="Times New Roman" w:hAnsi="Times New Roman" w:cs="Times New Roman"/>
          <w:sz w:val="20"/>
          <w:szCs w:val="20"/>
        </w:rPr>
      </w:pPr>
      <w:bookmarkStart w:id="3" w:name="art206ii"/>
      <w:bookmarkEnd w:id="3"/>
      <w:r w:rsidRPr="00F075B2">
        <w:rPr>
          <w:rFonts w:ascii="Times New Roman" w:hAnsi="Times New Roman" w:cs="Times New Roman"/>
          <w:sz w:val="20"/>
          <w:szCs w:val="20"/>
        </w:rPr>
        <w:t xml:space="preserve">II - </w:t>
      </w:r>
      <w:proofErr w:type="gramStart"/>
      <w:r w:rsidRPr="00F075B2">
        <w:rPr>
          <w:rFonts w:ascii="Times New Roman" w:hAnsi="Times New Roman" w:cs="Times New Roman"/>
          <w:sz w:val="20"/>
          <w:szCs w:val="20"/>
        </w:rPr>
        <w:t>liberdade</w:t>
      </w:r>
      <w:proofErr w:type="gramEnd"/>
      <w:r w:rsidRPr="00F075B2">
        <w:rPr>
          <w:rFonts w:ascii="Times New Roman" w:hAnsi="Times New Roman" w:cs="Times New Roman"/>
          <w:sz w:val="20"/>
          <w:szCs w:val="20"/>
        </w:rPr>
        <w:t xml:space="preserve"> de aprender, ensinar, pesquisar e divulgar o pensamento, a arte e o saber;</w:t>
      </w:r>
    </w:p>
    <w:p w:rsidR="00F075B2" w:rsidRPr="00F075B2" w:rsidRDefault="00F075B2" w:rsidP="00F075B2">
      <w:pPr>
        <w:pStyle w:val="SemEspaamento"/>
        <w:ind w:left="2268"/>
        <w:jc w:val="both"/>
        <w:rPr>
          <w:rFonts w:ascii="Times New Roman" w:hAnsi="Times New Roman" w:cs="Times New Roman"/>
          <w:sz w:val="20"/>
          <w:szCs w:val="20"/>
        </w:rPr>
      </w:pPr>
      <w:bookmarkStart w:id="4" w:name="art206iii"/>
      <w:bookmarkEnd w:id="4"/>
      <w:r w:rsidRPr="00F075B2">
        <w:rPr>
          <w:rFonts w:ascii="Times New Roman" w:hAnsi="Times New Roman" w:cs="Times New Roman"/>
          <w:sz w:val="20"/>
          <w:szCs w:val="20"/>
        </w:rPr>
        <w:t xml:space="preserve">III - pluralismo de </w:t>
      </w:r>
      <w:proofErr w:type="spellStart"/>
      <w:r w:rsidRPr="00F075B2">
        <w:rPr>
          <w:rFonts w:ascii="Times New Roman" w:hAnsi="Times New Roman" w:cs="Times New Roman"/>
          <w:sz w:val="20"/>
          <w:szCs w:val="20"/>
        </w:rPr>
        <w:t>idéias</w:t>
      </w:r>
      <w:proofErr w:type="spellEnd"/>
      <w:r w:rsidRPr="00F075B2">
        <w:rPr>
          <w:rFonts w:ascii="Times New Roman" w:hAnsi="Times New Roman" w:cs="Times New Roman"/>
          <w:sz w:val="20"/>
          <w:szCs w:val="20"/>
        </w:rPr>
        <w:t xml:space="preserve"> e de concepções pedagógicas, e coexistência de instituições públicas e privadas de ensino; [...] (BRASIL, 2017)</w:t>
      </w:r>
    </w:p>
    <w:p w:rsidR="00F075B2" w:rsidRDefault="00F075B2" w:rsidP="00F075B2">
      <w:pPr>
        <w:pStyle w:val="NormalWeb"/>
        <w:spacing w:before="0" w:beforeAutospacing="0" w:after="0" w:afterAutospacing="0" w:line="360" w:lineRule="auto"/>
      </w:pPr>
    </w:p>
    <w:p w:rsidR="00F075B2" w:rsidRPr="00F075B2" w:rsidRDefault="00F075B2" w:rsidP="00F075B2">
      <w:pPr>
        <w:pStyle w:val="NormalWeb"/>
        <w:spacing w:before="0" w:beforeAutospacing="0" w:after="0" w:afterAutospacing="0" w:line="360" w:lineRule="auto"/>
        <w:jc w:val="both"/>
        <w:rPr>
          <w:color w:val="000000" w:themeColor="text1"/>
        </w:rPr>
      </w:pPr>
      <w:r w:rsidRPr="00F075B2">
        <w:rPr>
          <w:color w:val="000000" w:themeColor="text1"/>
        </w:rPr>
        <w:t>Assim, fica constitucionalmente estabelecido que o Ensino Privado é um serviço que pode ser ofertado pela iniciativa privada, no entanto, a constituição também estabelece que</w:t>
      </w:r>
    </w:p>
    <w:p w:rsidR="00F075B2" w:rsidRPr="00F075B2" w:rsidRDefault="00F075B2" w:rsidP="00F075B2">
      <w:pPr>
        <w:pStyle w:val="NormalWeb"/>
        <w:spacing w:before="0" w:beforeAutospacing="0" w:after="0" w:afterAutospacing="0" w:line="360" w:lineRule="auto"/>
        <w:jc w:val="both"/>
        <w:rPr>
          <w:color w:val="000000" w:themeColor="text1"/>
        </w:rPr>
      </w:pPr>
    </w:p>
    <w:p w:rsidR="00F075B2" w:rsidRPr="00F075B2" w:rsidRDefault="00F075B2" w:rsidP="00F075B2">
      <w:pPr>
        <w:pStyle w:val="SemEspaamento"/>
        <w:ind w:left="2268"/>
        <w:jc w:val="both"/>
        <w:rPr>
          <w:rFonts w:ascii="Times New Roman" w:hAnsi="Times New Roman" w:cs="Times New Roman"/>
          <w:sz w:val="20"/>
          <w:szCs w:val="20"/>
        </w:rPr>
      </w:pPr>
      <w:r w:rsidRPr="00F075B2">
        <w:rPr>
          <w:rFonts w:ascii="Times New Roman" w:hAnsi="Times New Roman" w:cs="Times New Roman"/>
          <w:sz w:val="20"/>
          <w:szCs w:val="20"/>
        </w:rPr>
        <w:t>Art. 209. O ensino é livre à iniciativa privada, atendidas as seguintes condições:</w:t>
      </w:r>
    </w:p>
    <w:p w:rsidR="00F075B2" w:rsidRPr="00F075B2" w:rsidRDefault="00F075B2" w:rsidP="00F075B2">
      <w:pPr>
        <w:pStyle w:val="SemEspaamento"/>
        <w:ind w:left="2268"/>
        <w:jc w:val="both"/>
        <w:rPr>
          <w:rFonts w:ascii="Times New Roman" w:hAnsi="Times New Roman" w:cs="Times New Roman"/>
          <w:sz w:val="20"/>
          <w:szCs w:val="20"/>
        </w:rPr>
      </w:pPr>
      <w:bookmarkStart w:id="5" w:name="art209i"/>
      <w:bookmarkEnd w:id="5"/>
      <w:r w:rsidRPr="00F075B2">
        <w:rPr>
          <w:rFonts w:ascii="Times New Roman" w:hAnsi="Times New Roman" w:cs="Times New Roman"/>
          <w:sz w:val="20"/>
          <w:szCs w:val="20"/>
        </w:rPr>
        <w:t xml:space="preserve">I - </w:t>
      </w:r>
      <w:proofErr w:type="gramStart"/>
      <w:r w:rsidRPr="00F075B2">
        <w:rPr>
          <w:rFonts w:ascii="Times New Roman" w:hAnsi="Times New Roman" w:cs="Times New Roman"/>
          <w:sz w:val="20"/>
          <w:szCs w:val="20"/>
        </w:rPr>
        <w:t>cumprimento</w:t>
      </w:r>
      <w:proofErr w:type="gramEnd"/>
      <w:r w:rsidRPr="00F075B2">
        <w:rPr>
          <w:rFonts w:ascii="Times New Roman" w:hAnsi="Times New Roman" w:cs="Times New Roman"/>
          <w:sz w:val="20"/>
          <w:szCs w:val="20"/>
        </w:rPr>
        <w:t xml:space="preserve"> das normas gerais da educação nacional;</w:t>
      </w:r>
    </w:p>
    <w:p w:rsidR="00F075B2" w:rsidRPr="00F075B2" w:rsidRDefault="00F075B2" w:rsidP="00F075B2">
      <w:pPr>
        <w:pStyle w:val="SemEspaamento"/>
        <w:ind w:left="2268"/>
        <w:jc w:val="both"/>
        <w:rPr>
          <w:rFonts w:ascii="Times New Roman" w:hAnsi="Times New Roman" w:cs="Times New Roman"/>
          <w:sz w:val="20"/>
          <w:szCs w:val="20"/>
        </w:rPr>
      </w:pPr>
      <w:bookmarkStart w:id="6" w:name="art209ii"/>
      <w:bookmarkEnd w:id="6"/>
      <w:r w:rsidRPr="00F075B2">
        <w:rPr>
          <w:rFonts w:ascii="Times New Roman" w:hAnsi="Times New Roman" w:cs="Times New Roman"/>
          <w:sz w:val="20"/>
          <w:szCs w:val="20"/>
        </w:rPr>
        <w:t xml:space="preserve">II - </w:t>
      </w:r>
      <w:proofErr w:type="gramStart"/>
      <w:r w:rsidRPr="00F075B2">
        <w:rPr>
          <w:rFonts w:ascii="Times New Roman" w:hAnsi="Times New Roman" w:cs="Times New Roman"/>
          <w:sz w:val="20"/>
          <w:szCs w:val="20"/>
        </w:rPr>
        <w:t>autorização e avaliação</w:t>
      </w:r>
      <w:proofErr w:type="gramEnd"/>
      <w:r w:rsidRPr="00F075B2">
        <w:rPr>
          <w:rFonts w:ascii="Times New Roman" w:hAnsi="Times New Roman" w:cs="Times New Roman"/>
          <w:sz w:val="20"/>
          <w:szCs w:val="20"/>
        </w:rPr>
        <w:t xml:space="preserve"> de qualidade pelo Poder Público. (BRASIL, 2017)</w:t>
      </w:r>
    </w:p>
    <w:p w:rsidR="00F075B2" w:rsidRDefault="00F075B2" w:rsidP="00F075B2"/>
    <w:p w:rsidR="00F075B2" w:rsidRDefault="00F075B2" w:rsidP="00F075B2">
      <w:r>
        <w:t xml:space="preserve">Dessa forma, o inciso II estabelece que tal serviço não pode ser ofertado de forma indiscriminada no mercado, para abrir e funcionar uma instituição de Ensino Privado necessita </w:t>
      </w:r>
      <w:r>
        <w:lastRenderedPageBreak/>
        <w:t>de autorização e avaliação constante de seus rendimentos de acordo com os procedimentos estabelecidos pelo Ministério da Educação do Brasil – MEC.</w:t>
      </w:r>
    </w:p>
    <w:p w:rsidR="00F075B2" w:rsidRDefault="00F075B2" w:rsidP="00F075B2">
      <w:r>
        <w:t>Assim, o dualismo da educação no Brasil estabelecido desde a sua colonização é mantido constitucionalmente, de forma que o Ensino Privado compreende por 21% da educação do Brasil e segue tendência de aumento nessa participação nos próximos anos (INEP, 2016).</w:t>
      </w:r>
    </w:p>
    <w:p w:rsidR="00F075B2" w:rsidRDefault="00F075B2" w:rsidP="00F075B2">
      <w:r>
        <w:t>Muitas críticas são direcionadas a esse modelo, por criar um cenário de diferenciação na educação, havendo assim, uma educação para os menos favorecidos, sucateada e com poupa produtividade e uma educação para as classes sociais mais elevadas, com competitividade e rápido progresso tecnológico. No entanto, não é objeto de estudo desse trabalho atentar para essa questão.</w:t>
      </w:r>
    </w:p>
    <w:p w:rsidR="00F075B2" w:rsidRDefault="00F075B2" w:rsidP="00F075B2">
      <w:pPr>
        <w:ind w:firstLine="0"/>
        <w:rPr>
          <w:rFonts w:cs="Times New Roman"/>
          <w:b/>
          <w:szCs w:val="24"/>
        </w:rPr>
      </w:pPr>
    </w:p>
    <w:p w:rsidR="00F075B2" w:rsidRPr="00FF230F" w:rsidRDefault="004C2DDE" w:rsidP="00F075B2">
      <w:pPr>
        <w:ind w:firstLine="0"/>
        <w:rPr>
          <w:rFonts w:cs="Times New Roman"/>
          <w:b/>
          <w:szCs w:val="24"/>
        </w:rPr>
      </w:pPr>
      <w:r>
        <w:rPr>
          <w:rFonts w:cs="Times New Roman"/>
          <w:b/>
          <w:szCs w:val="24"/>
        </w:rPr>
        <w:t>4</w:t>
      </w:r>
      <w:r w:rsidR="00F075B2">
        <w:rPr>
          <w:rFonts w:cs="Times New Roman"/>
          <w:b/>
          <w:szCs w:val="24"/>
        </w:rPr>
        <w:t xml:space="preserve"> DINAMISMO NO MERCADO DE ENSINO PRIVADO</w:t>
      </w:r>
    </w:p>
    <w:p w:rsidR="00F075B2" w:rsidRDefault="00F075B2" w:rsidP="00F075B2"/>
    <w:p w:rsidR="00F075B2" w:rsidRPr="005D04D0" w:rsidRDefault="00F075B2" w:rsidP="00F075B2">
      <w:r>
        <w:t xml:space="preserve">Para melhor compreensão da pesquisa se faz necessário um breve esclarecimento sobre a metodologia utilizada, de forma, que facilite a compreensão dos resultados apresentados. Em seguida, </w:t>
      </w:r>
      <w:proofErr w:type="gramStart"/>
      <w:r>
        <w:t>será</w:t>
      </w:r>
      <w:proofErr w:type="gramEnd"/>
      <w:r>
        <w:t xml:space="preserve"> apresentado os Quocientes Locacionais e as devidas conclusões constatadas.</w:t>
      </w:r>
    </w:p>
    <w:p w:rsidR="00F075B2" w:rsidRDefault="00F075B2" w:rsidP="00F075B2">
      <w:pPr>
        <w:ind w:firstLine="0"/>
        <w:rPr>
          <w:rFonts w:cs="Times New Roman"/>
          <w:szCs w:val="24"/>
        </w:rPr>
      </w:pPr>
    </w:p>
    <w:p w:rsidR="00F075B2" w:rsidRPr="00FF230F" w:rsidRDefault="004C2DDE" w:rsidP="00F075B2">
      <w:pPr>
        <w:ind w:firstLine="0"/>
        <w:rPr>
          <w:rFonts w:cs="Times New Roman"/>
          <w:b/>
          <w:szCs w:val="24"/>
        </w:rPr>
      </w:pPr>
      <w:r>
        <w:rPr>
          <w:rFonts w:cs="Times New Roman"/>
          <w:b/>
          <w:szCs w:val="24"/>
        </w:rPr>
        <w:t>4</w:t>
      </w:r>
      <w:r w:rsidR="00F075B2" w:rsidRPr="00FF230F">
        <w:rPr>
          <w:rFonts w:cs="Times New Roman"/>
          <w:b/>
          <w:szCs w:val="24"/>
        </w:rPr>
        <w:t>.1 Questões Metodológicas</w:t>
      </w:r>
    </w:p>
    <w:p w:rsidR="00F075B2" w:rsidRDefault="00F075B2" w:rsidP="00F075B2">
      <w:pPr>
        <w:rPr>
          <w:rFonts w:cs="Times New Roman"/>
          <w:szCs w:val="24"/>
        </w:rPr>
      </w:pPr>
    </w:p>
    <w:p w:rsidR="00F075B2" w:rsidRPr="005D04D0" w:rsidRDefault="00F075B2" w:rsidP="00F075B2">
      <w:pPr>
        <w:rPr>
          <w:rFonts w:cs="Times New Roman"/>
          <w:szCs w:val="24"/>
        </w:rPr>
      </w:pPr>
      <w:r w:rsidRPr="005D04D0">
        <w:rPr>
          <w:rFonts w:cs="Times New Roman"/>
          <w:szCs w:val="24"/>
        </w:rPr>
        <w:t xml:space="preserve">Esta pesquisa sobre o dinamismo do mercado de </w:t>
      </w:r>
      <w:r>
        <w:rPr>
          <w:rFonts w:cs="Times New Roman"/>
          <w:szCs w:val="24"/>
        </w:rPr>
        <w:t>Ensino Privado</w:t>
      </w:r>
      <w:r w:rsidRPr="005D04D0">
        <w:rPr>
          <w:rFonts w:cs="Times New Roman"/>
          <w:szCs w:val="24"/>
        </w:rPr>
        <w:t xml:space="preserve"> nas dez maiores cidades do </w:t>
      </w:r>
      <w:r>
        <w:rPr>
          <w:rFonts w:cs="Times New Roman"/>
          <w:szCs w:val="24"/>
        </w:rPr>
        <w:t>Maranhão</w:t>
      </w:r>
      <w:r w:rsidRPr="005D04D0">
        <w:rPr>
          <w:rFonts w:cs="Times New Roman"/>
          <w:szCs w:val="24"/>
        </w:rPr>
        <w:t xml:space="preserve"> trata-se de uma pesquisa bibliográfica, ou seja, realizada a partir de dados secundários publicados anteriormente, (GIL, 2010). As principais fontes de dados são o INEP (2016), que disponibiliza os dados referentes ao ensino em todo o Brasil, no qual, foram coletados o número de matriculas total e o número de matrículas na rede privada. Os dados acerca do número de matrículas em cada cidade foram coletados diretamente no IBGE (2017). </w:t>
      </w:r>
    </w:p>
    <w:p w:rsidR="00F075B2" w:rsidRPr="005D04D0" w:rsidRDefault="00F075B2" w:rsidP="00F075B2">
      <w:pPr>
        <w:rPr>
          <w:rFonts w:cs="Times New Roman"/>
          <w:szCs w:val="24"/>
        </w:rPr>
      </w:pPr>
      <w:r w:rsidRPr="005D04D0">
        <w:rPr>
          <w:rFonts w:cs="Times New Roman"/>
          <w:szCs w:val="24"/>
        </w:rPr>
        <w:t>Ressalta-se que a análise e interpretação dos dados coletados foram realizadas por método dedutivo e abordagem quantitativa. O método dedutivo é aquele em que a análise dos dados parte de uma linha geral para o particular, enquanto a abordagem quantitativa é aquela que se vale de números e estatística para fundamentar seus resultados (GIL, 2010).</w:t>
      </w:r>
    </w:p>
    <w:p w:rsidR="00F075B2" w:rsidRDefault="00F075B2" w:rsidP="00F075B2">
      <w:pPr>
        <w:rPr>
          <w:rFonts w:cs="Times New Roman"/>
          <w:szCs w:val="24"/>
        </w:rPr>
      </w:pPr>
      <w:r w:rsidRPr="005D04D0">
        <w:rPr>
          <w:rFonts w:cs="Times New Roman"/>
          <w:szCs w:val="24"/>
        </w:rPr>
        <w:t>A teoria geral utilizada para nortear a pesquisa foi o Quociente Locacional, esse indicador é um dos mais ut</w:t>
      </w:r>
      <w:r>
        <w:rPr>
          <w:rFonts w:cs="Times New Roman"/>
          <w:szCs w:val="24"/>
        </w:rPr>
        <w:t xml:space="preserve">ilizados na análise das realidades </w:t>
      </w:r>
      <w:proofErr w:type="spellStart"/>
      <w:r>
        <w:rPr>
          <w:rFonts w:cs="Times New Roman"/>
          <w:szCs w:val="24"/>
        </w:rPr>
        <w:t>sócio-econômicas</w:t>
      </w:r>
      <w:proofErr w:type="spellEnd"/>
      <w:r>
        <w:rPr>
          <w:rFonts w:cs="Times New Roman"/>
          <w:szCs w:val="24"/>
        </w:rPr>
        <w:t xml:space="preserve"> regionais.</w:t>
      </w:r>
    </w:p>
    <w:p w:rsidR="00F075B2" w:rsidRPr="005D04D0" w:rsidRDefault="00F075B2" w:rsidP="00F075B2">
      <w:pPr>
        <w:rPr>
          <w:rFonts w:cs="Times New Roman"/>
          <w:szCs w:val="24"/>
        </w:rPr>
      </w:pPr>
      <w:r w:rsidRPr="005D04D0">
        <w:rPr>
          <w:rFonts w:cs="Times New Roman"/>
          <w:szCs w:val="24"/>
        </w:rPr>
        <w:t xml:space="preserve"> </w:t>
      </w:r>
    </w:p>
    <w:p w:rsidR="00F075B2" w:rsidRPr="004C2DDE" w:rsidRDefault="00F075B2" w:rsidP="004C2DDE">
      <w:pPr>
        <w:pStyle w:val="SemEspaamento"/>
        <w:ind w:left="2268"/>
        <w:jc w:val="both"/>
        <w:rPr>
          <w:rFonts w:ascii="Times New Roman" w:hAnsi="Times New Roman" w:cs="Times New Roman"/>
          <w:sz w:val="20"/>
          <w:szCs w:val="20"/>
        </w:rPr>
      </w:pPr>
      <w:r w:rsidRPr="004C2DDE">
        <w:rPr>
          <w:rFonts w:ascii="Times New Roman" w:hAnsi="Times New Roman" w:cs="Times New Roman"/>
          <w:sz w:val="20"/>
          <w:szCs w:val="20"/>
        </w:rPr>
        <w:t>Tradicional na literatura de economia regional, o QL procura comparar duas estruturas setoriais-espaciais. Ele é a razão entre duas estruturas econômicas: no numerador tem-</w:t>
      </w:r>
      <w:r w:rsidRPr="004C2DDE">
        <w:rPr>
          <w:rFonts w:ascii="Times New Roman" w:hAnsi="Times New Roman" w:cs="Times New Roman"/>
          <w:sz w:val="20"/>
          <w:szCs w:val="20"/>
        </w:rPr>
        <w:lastRenderedPageBreak/>
        <w:t>se a "economia" em estudo e no denominador uma "economia de referência". A fórmula de cálculo é a seguinte: (CROCCO, et al, 2006).</w:t>
      </w:r>
    </w:p>
    <w:p w:rsidR="00F075B2" w:rsidRDefault="00F075B2" w:rsidP="00F075B2">
      <w:pPr>
        <w:pStyle w:val="SemEspaamento"/>
      </w:pPr>
    </w:p>
    <w:p w:rsidR="00F075B2" w:rsidRPr="005D04D0" w:rsidRDefault="00F075B2" w:rsidP="00F075B2">
      <w:pPr>
        <w:pStyle w:val="NormalWeb"/>
        <w:spacing w:before="0" w:beforeAutospacing="0" w:after="0" w:afterAutospacing="0" w:line="360" w:lineRule="auto"/>
        <w:jc w:val="center"/>
      </w:pPr>
      <w:r w:rsidRPr="005D04D0">
        <w:rPr>
          <w:noProof/>
        </w:rPr>
        <w:drawing>
          <wp:inline distT="0" distB="0" distL="0" distR="0" wp14:anchorId="1021D5EC" wp14:editId="7D188B88">
            <wp:extent cx="2876550" cy="1085850"/>
            <wp:effectExtent l="0" t="0" r="0" b="0"/>
            <wp:docPr id="1" name="Imagem 1" descr="http://www.scielo.br/img/revistas/neco/v16n2/0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lo.br/img/revistas/neco/v16n2/01x1.gif"/>
                    <pic:cNvPicPr>
                      <a:picLocks noChangeAspect="1" noChangeArrowheads="1"/>
                    </pic:cNvPicPr>
                  </pic:nvPicPr>
                  <pic:blipFill rotWithShape="1">
                    <a:blip r:embed="rId9">
                      <a:extLst>
                        <a:ext uri="{28A0092B-C50C-407E-A947-70E740481C1C}">
                          <a14:useLocalDpi xmlns:a14="http://schemas.microsoft.com/office/drawing/2010/main" val="0"/>
                        </a:ext>
                      </a:extLst>
                    </a:blip>
                    <a:srcRect l="-31387" r="31387"/>
                    <a:stretch/>
                  </pic:blipFill>
                  <pic:spPr bwMode="auto">
                    <a:xfrm>
                      <a:off x="0" y="0"/>
                      <a:ext cx="2876550" cy="1085850"/>
                    </a:xfrm>
                    <a:prstGeom prst="rect">
                      <a:avLst/>
                    </a:prstGeom>
                    <a:noFill/>
                    <a:ln>
                      <a:noFill/>
                    </a:ln>
                  </pic:spPr>
                </pic:pic>
              </a:graphicData>
            </a:graphic>
          </wp:inline>
        </w:drawing>
      </w:r>
    </w:p>
    <w:p w:rsidR="00F075B2" w:rsidRPr="005D04D0" w:rsidRDefault="00F075B2" w:rsidP="00F075B2">
      <w:pPr>
        <w:rPr>
          <w:rFonts w:cs="Times New Roman"/>
          <w:szCs w:val="24"/>
        </w:rPr>
      </w:pPr>
    </w:p>
    <w:p w:rsidR="00F075B2" w:rsidRPr="005D04D0" w:rsidRDefault="00F075B2" w:rsidP="00F075B2">
      <w:pPr>
        <w:rPr>
          <w:rFonts w:cs="Times New Roman"/>
          <w:szCs w:val="24"/>
        </w:rPr>
      </w:pPr>
      <w:r w:rsidRPr="005D04D0">
        <w:rPr>
          <w:rFonts w:cs="Times New Roman"/>
          <w:szCs w:val="24"/>
        </w:rPr>
        <w:t>Assim, as regiões que apresentarem um Quociente Locacional maior do que “1” apresentam dinamismo nesse merc</w:t>
      </w:r>
      <w:r>
        <w:rPr>
          <w:rFonts w:cs="Times New Roman"/>
          <w:szCs w:val="24"/>
        </w:rPr>
        <w:t>ado. Dessa forma, serão calculados</w:t>
      </w:r>
      <w:r w:rsidRPr="005D04D0">
        <w:rPr>
          <w:rFonts w:cs="Times New Roman"/>
          <w:szCs w:val="24"/>
        </w:rPr>
        <w:t xml:space="preserve"> os QL de cada uma das dez maiores cidades do </w:t>
      </w:r>
      <w:r>
        <w:rPr>
          <w:rFonts w:cs="Times New Roman"/>
          <w:szCs w:val="24"/>
        </w:rPr>
        <w:t>Maranhão</w:t>
      </w:r>
      <w:r w:rsidRPr="005D04D0">
        <w:rPr>
          <w:rFonts w:cs="Times New Roman"/>
          <w:szCs w:val="24"/>
        </w:rPr>
        <w:t xml:space="preserve"> para identificar se há ou não dinamismo no mercado de </w:t>
      </w:r>
      <w:r>
        <w:rPr>
          <w:rFonts w:cs="Times New Roman"/>
          <w:szCs w:val="24"/>
        </w:rPr>
        <w:t>Ensino Privado. Ressalta-se que para a realização dos cálculos foi utilizado o número total de matrículas no ano de 2015, pois foram os últimos valores disponibilizados pelo IBGE.</w:t>
      </w:r>
    </w:p>
    <w:p w:rsidR="00F075B2" w:rsidRDefault="00F075B2" w:rsidP="00F075B2">
      <w:pPr>
        <w:rPr>
          <w:rFonts w:cs="Times New Roman"/>
          <w:szCs w:val="24"/>
        </w:rPr>
      </w:pPr>
      <w:r w:rsidRPr="005D04D0">
        <w:rPr>
          <w:rFonts w:cs="Times New Roman"/>
          <w:szCs w:val="24"/>
        </w:rPr>
        <w:t>Para melhor qualificação da pesquisa</w:t>
      </w:r>
      <w:r>
        <w:rPr>
          <w:rFonts w:cs="Times New Roman"/>
          <w:szCs w:val="24"/>
        </w:rPr>
        <w:t xml:space="preserve"> foi feito uma divisão entre o E</w:t>
      </w:r>
      <w:r w:rsidRPr="005D04D0">
        <w:rPr>
          <w:rFonts w:cs="Times New Roman"/>
          <w:szCs w:val="24"/>
        </w:rPr>
        <w:t xml:space="preserve">nsino Fundamental e Médio, de forma que foi possível, além de identificar as cidades com dinamismo no </w:t>
      </w:r>
      <w:r>
        <w:rPr>
          <w:rFonts w:cs="Times New Roman"/>
          <w:szCs w:val="24"/>
        </w:rPr>
        <w:t>Ensino Privado, diferenciar dinamismo no Ensino Fundamental e M</w:t>
      </w:r>
      <w:r w:rsidRPr="005D04D0">
        <w:rPr>
          <w:rFonts w:cs="Times New Roman"/>
          <w:szCs w:val="24"/>
        </w:rPr>
        <w:t>édio em cada cidade.</w:t>
      </w:r>
    </w:p>
    <w:p w:rsidR="00F075B2" w:rsidRPr="005D04D0" w:rsidRDefault="00F075B2" w:rsidP="00F075B2">
      <w:pPr>
        <w:rPr>
          <w:rFonts w:cs="Times New Roman"/>
          <w:szCs w:val="24"/>
        </w:rPr>
      </w:pPr>
      <w:r>
        <w:rPr>
          <w:rFonts w:cs="Times New Roman"/>
          <w:szCs w:val="24"/>
        </w:rPr>
        <w:t>É importante ressaltar que o critério utilizado para escolha das cidades foi o seu tamanho e relevância do ponto de vista do Valor Agregado Bruto ou Produto Interno Bruto – PIB. Dessa forma, foram selecionadas as cidades que apresentam os dez maiores PIB no Maranhão.</w:t>
      </w:r>
    </w:p>
    <w:p w:rsidR="00F075B2" w:rsidRPr="005D04D0" w:rsidRDefault="00F075B2" w:rsidP="00F075B2">
      <w:pPr>
        <w:rPr>
          <w:rFonts w:cs="Times New Roman"/>
          <w:szCs w:val="24"/>
        </w:rPr>
      </w:pPr>
    </w:p>
    <w:p w:rsidR="00F075B2" w:rsidRPr="00FF230F" w:rsidRDefault="004C2DDE" w:rsidP="00F075B2">
      <w:pPr>
        <w:ind w:firstLine="0"/>
        <w:rPr>
          <w:rFonts w:cs="Times New Roman"/>
          <w:b/>
          <w:szCs w:val="24"/>
        </w:rPr>
      </w:pPr>
      <w:r>
        <w:rPr>
          <w:rFonts w:cs="Times New Roman"/>
          <w:b/>
          <w:szCs w:val="24"/>
        </w:rPr>
        <w:t>4.</w:t>
      </w:r>
      <w:r w:rsidR="00F075B2">
        <w:rPr>
          <w:rFonts w:cs="Times New Roman"/>
          <w:b/>
          <w:szCs w:val="24"/>
        </w:rPr>
        <w:t xml:space="preserve">2 </w:t>
      </w:r>
      <w:r w:rsidR="00F075B2" w:rsidRPr="00FF230F">
        <w:rPr>
          <w:rFonts w:cs="Times New Roman"/>
          <w:b/>
          <w:szCs w:val="24"/>
        </w:rPr>
        <w:t>Resultados da pesquisa</w:t>
      </w:r>
    </w:p>
    <w:p w:rsidR="00F075B2" w:rsidRDefault="00F075B2" w:rsidP="00F075B2">
      <w:pPr>
        <w:rPr>
          <w:rFonts w:cs="Times New Roman"/>
          <w:szCs w:val="24"/>
        </w:rPr>
      </w:pPr>
    </w:p>
    <w:p w:rsidR="00F075B2" w:rsidRDefault="00F075B2" w:rsidP="00F075B2">
      <w:pPr>
        <w:rPr>
          <w:rFonts w:cs="Times New Roman"/>
          <w:szCs w:val="24"/>
        </w:rPr>
      </w:pPr>
      <w:r>
        <w:rPr>
          <w:rFonts w:cs="Times New Roman"/>
          <w:szCs w:val="24"/>
        </w:rPr>
        <w:t>Os dados foram coletados no INEP e no IBGE e organizados no quadro 1, de forma que seja possível observar os valores absolutos da educação no Brasil e nas cidades que compõem o objeto da pesquisa.</w:t>
      </w:r>
    </w:p>
    <w:p w:rsidR="00F075B2" w:rsidRDefault="00F075B2" w:rsidP="00F075B2">
      <w:pPr>
        <w:rPr>
          <w:rFonts w:cs="Times New Roman"/>
          <w:szCs w:val="24"/>
        </w:rPr>
      </w:pPr>
    </w:p>
    <w:tbl>
      <w:tblPr>
        <w:tblStyle w:val="Tabelacomgrade"/>
        <w:tblW w:w="9351" w:type="dxa"/>
        <w:jc w:val="center"/>
        <w:tblLayout w:type="fixed"/>
        <w:tblLook w:val="04A0" w:firstRow="1" w:lastRow="0" w:firstColumn="1" w:lastColumn="0" w:noHBand="0" w:noVBand="1"/>
      </w:tblPr>
      <w:tblGrid>
        <w:gridCol w:w="1985"/>
        <w:gridCol w:w="1361"/>
        <w:gridCol w:w="1116"/>
        <w:gridCol w:w="1116"/>
        <w:gridCol w:w="1361"/>
        <w:gridCol w:w="1116"/>
        <w:gridCol w:w="1296"/>
      </w:tblGrid>
      <w:tr w:rsidR="00F075B2" w:rsidRPr="00FF230F" w:rsidTr="00F42F12">
        <w:trPr>
          <w:jc w:val="center"/>
        </w:trPr>
        <w:tc>
          <w:tcPr>
            <w:tcW w:w="9351" w:type="dxa"/>
            <w:gridSpan w:val="7"/>
            <w:vAlign w:val="center"/>
          </w:tcPr>
          <w:p w:rsidR="00F075B2" w:rsidRPr="00FF230F" w:rsidRDefault="00F075B2" w:rsidP="00F42F12">
            <w:pPr>
              <w:ind w:firstLine="0"/>
              <w:jc w:val="center"/>
              <w:rPr>
                <w:rFonts w:cs="Times New Roman"/>
                <w:b/>
                <w:sz w:val="20"/>
                <w:szCs w:val="20"/>
              </w:rPr>
            </w:pPr>
            <w:r w:rsidRPr="00FF230F">
              <w:rPr>
                <w:rFonts w:cs="Times New Roman"/>
                <w:b/>
                <w:sz w:val="20"/>
                <w:szCs w:val="20"/>
              </w:rPr>
              <w:t>QUADRO 1. NÚMERO DE MATRÍCULAS</w:t>
            </w:r>
          </w:p>
        </w:tc>
      </w:tr>
      <w:tr w:rsidR="00F075B2" w:rsidRPr="00FF230F" w:rsidTr="00F42F12">
        <w:trPr>
          <w:jc w:val="center"/>
        </w:trPr>
        <w:tc>
          <w:tcPr>
            <w:tcW w:w="1985" w:type="dxa"/>
            <w:vMerge w:val="restart"/>
            <w:vAlign w:val="center"/>
          </w:tcPr>
          <w:p w:rsidR="00F075B2" w:rsidRPr="00FF230F" w:rsidRDefault="00F075B2" w:rsidP="00F42F12">
            <w:pPr>
              <w:ind w:firstLine="0"/>
              <w:jc w:val="center"/>
              <w:rPr>
                <w:rFonts w:cs="Times New Roman"/>
                <w:sz w:val="20"/>
                <w:szCs w:val="20"/>
              </w:rPr>
            </w:pPr>
          </w:p>
        </w:tc>
        <w:tc>
          <w:tcPr>
            <w:tcW w:w="3593" w:type="dxa"/>
            <w:gridSpan w:val="3"/>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PRIVADAS</w:t>
            </w:r>
          </w:p>
        </w:tc>
        <w:tc>
          <w:tcPr>
            <w:tcW w:w="3773" w:type="dxa"/>
            <w:gridSpan w:val="3"/>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TOTAL</w:t>
            </w:r>
          </w:p>
        </w:tc>
      </w:tr>
      <w:tr w:rsidR="00F075B2" w:rsidRPr="00FF230F" w:rsidTr="00F42F12">
        <w:trPr>
          <w:jc w:val="center"/>
        </w:trPr>
        <w:tc>
          <w:tcPr>
            <w:tcW w:w="1985" w:type="dxa"/>
            <w:vMerge/>
            <w:vAlign w:val="center"/>
          </w:tcPr>
          <w:p w:rsidR="00F075B2" w:rsidRPr="00FF230F" w:rsidRDefault="00F075B2" w:rsidP="00F42F12">
            <w:pPr>
              <w:ind w:firstLine="0"/>
              <w:jc w:val="center"/>
              <w:rPr>
                <w:rFonts w:cs="Times New Roman"/>
                <w:sz w:val="20"/>
                <w:szCs w:val="20"/>
              </w:rPr>
            </w:pPr>
          </w:p>
        </w:tc>
        <w:tc>
          <w:tcPr>
            <w:tcW w:w="1361"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Fundamental</w:t>
            </w:r>
          </w:p>
        </w:tc>
        <w:tc>
          <w:tcPr>
            <w:tcW w:w="1116"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Médio</w:t>
            </w:r>
          </w:p>
        </w:tc>
        <w:tc>
          <w:tcPr>
            <w:tcW w:w="1116"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Total</w:t>
            </w:r>
          </w:p>
        </w:tc>
        <w:tc>
          <w:tcPr>
            <w:tcW w:w="1361"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Fundamental</w:t>
            </w:r>
          </w:p>
        </w:tc>
        <w:tc>
          <w:tcPr>
            <w:tcW w:w="1116"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Médio</w:t>
            </w:r>
          </w:p>
        </w:tc>
        <w:tc>
          <w:tcPr>
            <w:tcW w:w="1296"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Total</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Brasil</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4.499.610</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1.049.224</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5.548.834</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27.825.338</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8.074.881</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35.900.219</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São Luís</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50.928</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9.011</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59.939</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142.310</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52.739</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195.049</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Imperatriz</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9.686</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1.788</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11.474</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40.697</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12.359</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53.056</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Balsas</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3.046</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772</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3.818</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17.083</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4.343</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21.426</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Açailândia</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2.059</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364</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2.423</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19.946</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4.963</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24.909</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São José de Ribamar</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5.629</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309</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5.938</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23.753</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3.768</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27.521</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Caxias</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2.236</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311</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2.547</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28.012</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6.974</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34.986</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Timon</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3.443</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363</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3.806</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27.221</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6.051</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33.272</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Bacabal</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3.288</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435</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3.723</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17.749</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5.068</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22.817</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Santa Inês</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3.008</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590</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3.598</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16.830</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5.614</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22.444</w:t>
            </w:r>
          </w:p>
        </w:tc>
      </w:tr>
      <w:tr w:rsidR="00F075B2" w:rsidRPr="00FF230F" w:rsidTr="00F42F12">
        <w:trPr>
          <w:jc w:val="center"/>
        </w:trPr>
        <w:tc>
          <w:tcPr>
            <w:tcW w:w="1985" w:type="dxa"/>
            <w:vAlign w:val="center"/>
          </w:tcPr>
          <w:p w:rsidR="00F075B2" w:rsidRPr="00FF230F" w:rsidRDefault="00F075B2" w:rsidP="00F42F12">
            <w:pPr>
              <w:ind w:firstLine="0"/>
              <w:jc w:val="center"/>
              <w:rPr>
                <w:rFonts w:cs="Times New Roman"/>
                <w:sz w:val="20"/>
                <w:szCs w:val="20"/>
              </w:rPr>
            </w:pPr>
            <w:r w:rsidRPr="00FF230F">
              <w:rPr>
                <w:rFonts w:cs="Times New Roman"/>
                <w:sz w:val="20"/>
                <w:szCs w:val="20"/>
              </w:rPr>
              <w:t>Codó</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2.744</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445</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3.189</w:t>
            </w:r>
          </w:p>
        </w:tc>
        <w:tc>
          <w:tcPr>
            <w:tcW w:w="1361"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22.486</w:t>
            </w:r>
          </w:p>
        </w:tc>
        <w:tc>
          <w:tcPr>
            <w:tcW w:w="111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5.361</w:t>
            </w:r>
          </w:p>
        </w:tc>
        <w:tc>
          <w:tcPr>
            <w:tcW w:w="1296" w:type="dxa"/>
            <w:vAlign w:val="center"/>
          </w:tcPr>
          <w:p w:rsidR="00F075B2" w:rsidRPr="00FF230F" w:rsidRDefault="00F075B2" w:rsidP="00F42F12">
            <w:pPr>
              <w:ind w:firstLine="0"/>
              <w:jc w:val="center"/>
              <w:rPr>
                <w:rFonts w:cs="Times New Roman"/>
                <w:color w:val="000000"/>
                <w:sz w:val="20"/>
                <w:szCs w:val="20"/>
              </w:rPr>
            </w:pPr>
            <w:r w:rsidRPr="00FF230F">
              <w:rPr>
                <w:rFonts w:cs="Times New Roman"/>
                <w:color w:val="000000"/>
                <w:sz w:val="20"/>
                <w:szCs w:val="20"/>
              </w:rPr>
              <w:t>27.847</w:t>
            </w:r>
          </w:p>
        </w:tc>
      </w:tr>
    </w:tbl>
    <w:p w:rsidR="00F075B2" w:rsidRPr="00030DC6" w:rsidRDefault="00F075B2" w:rsidP="004C2DDE">
      <w:pPr>
        <w:ind w:firstLine="0"/>
        <w:rPr>
          <w:rFonts w:cs="Times New Roman"/>
          <w:sz w:val="20"/>
          <w:szCs w:val="20"/>
        </w:rPr>
      </w:pPr>
      <w:r w:rsidRPr="00030DC6">
        <w:rPr>
          <w:rFonts w:cs="Times New Roman"/>
          <w:sz w:val="20"/>
          <w:szCs w:val="20"/>
        </w:rPr>
        <w:lastRenderedPageBreak/>
        <w:t>Fontes: INEP (2016) IBGE (2017)</w:t>
      </w:r>
    </w:p>
    <w:p w:rsidR="00F075B2" w:rsidRDefault="00F075B2" w:rsidP="00F075B2">
      <w:pPr>
        <w:rPr>
          <w:rFonts w:cs="Times New Roman"/>
          <w:szCs w:val="24"/>
        </w:rPr>
      </w:pPr>
    </w:p>
    <w:p w:rsidR="00F075B2" w:rsidRDefault="00F075B2" w:rsidP="004C2DDE">
      <w:pPr>
        <w:rPr>
          <w:rFonts w:cs="Times New Roman"/>
          <w:szCs w:val="24"/>
        </w:rPr>
      </w:pPr>
      <w:r>
        <w:rPr>
          <w:rFonts w:cs="Times New Roman"/>
          <w:szCs w:val="24"/>
        </w:rPr>
        <w:t>A partir dos valores absolutos foi elaborado um segundo quadro contendo a participação do setor no total, a participação do setor privado em cada cidade, divido pela participação a nível nacional tem como resultado o Quociente Locacional de cada cidade, determinando se essa cidade é ou não dinâmica nesse mercado. O Quadro 2 apresenta os valores da participação do setor em cada cidade e, em seguida, o resultado do QL de cada cidade.</w:t>
      </w:r>
    </w:p>
    <w:p w:rsidR="00F075B2" w:rsidRDefault="00F075B2" w:rsidP="004C2DDE">
      <w:pPr>
        <w:ind w:firstLine="0"/>
        <w:rPr>
          <w:rFonts w:cs="Times New Roman"/>
          <w:szCs w:val="24"/>
        </w:rPr>
      </w:pPr>
    </w:p>
    <w:tbl>
      <w:tblPr>
        <w:tblStyle w:val="Tabelacomgrade"/>
        <w:tblW w:w="8781" w:type="dxa"/>
        <w:jc w:val="center"/>
        <w:tblLook w:val="04A0" w:firstRow="1" w:lastRow="0" w:firstColumn="1" w:lastColumn="0" w:noHBand="0" w:noVBand="1"/>
      </w:tblPr>
      <w:tblGrid>
        <w:gridCol w:w="1969"/>
        <w:gridCol w:w="1310"/>
        <w:gridCol w:w="1010"/>
        <w:gridCol w:w="1008"/>
        <w:gridCol w:w="1361"/>
        <w:gridCol w:w="1010"/>
        <w:gridCol w:w="1113"/>
      </w:tblGrid>
      <w:tr w:rsidR="00F075B2" w:rsidRPr="00CF3A08" w:rsidTr="00F42F12">
        <w:trPr>
          <w:jc w:val="center"/>
        </w:trPr>
        <w:tc>
          <w:tcPr>
            <w:tcW w:w="8781" w:type="dxa"/>
            <w:gridSpan w:val="7"/>
            <w:vAlign w:val="center"/>
          </w:tcPr>
          <w:p w:rsidR="00F075B2" w:rsidRPr="00CF3A08" w:rsidRDefault="00F075B2" w:rsidP="00F42F12">
            <w:pPr>
              <w:ind w:firstLine="0"/>
              <w:jc w:val="center"/>
              <w:rPr>
                <w:rFonts w:cs="Times New Roman"/>
                <w:b/>
                <w:sz w:val="20"/>
                <w:szCs w:val="20"/>
              </w:rPr>
            </w:pPr>
            <w:r w:rsidRPr="00CF3A08">
              <w:rPr>
                <w:rFonts w:cs="Times New Roman"/>
                <w:b/>
                <w:sz w:val="20"/>
                <w:szCs w:val="20"/>
              </w:rPr>
              <w:t xml:space="preserve">QUADRO 2. </w:t>
            </w:r>
            <w:r>
              <w:rPr>
                <w:rFonts w:cs="Times New Roman"/>
                <w:b/>
                <w:sz w:val="20"/>
                <w:szCs w:val="20"/>
              </w:rPr>
              <w:t>CÁLCULO DO QL</w:t>
            </w:r>
          </w:p>
        </w:tc>
      </w:tr>
      <w:tr w:rsidR="00F075B2" w:rsidRPr="00CF3A08" w:rsidTr="00F42F12">
        <w:trPr>
          <w:jc w:val="center"/>
        </w:trPr>
        <w:tc>
          <w:tcPr>
            <w:tcW w:w="1969" w:type="dxa"/>
            <w:vMerge w:val="restart"/>
            <w:vAlign w:val="center"/>
          </w:tcPr>
          <w:p w:rsidR="00F075B2" w:rsidRPr="00CF3A08" w:rsidRDefault="00F075B2" w:rsidP="00F42F12">
            <w:pPr>
              <w:ind w:firstLine="0"/>
              <w:jc w:val="center"/>
              <w:rPr>
                <w:rFonts w:cs="Times New Roman"/>
                <w:sz w:val="20"/>
                <w:szCs w:val="20"/>
              </w:rPr>
            </w:pPr>
          </w:p>
        </w:tc>
        <w:tc>
          <w:tcPr>
            <w:tcW w:w="3328" w:type="dxa"/>
            <w:gridSpan w:val="3"/>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PARTICIPAÇÃO</w:t>
            </w:r>
          </w:p>
        </w:tc>
        <w:tc>
          <w:tcPr>
            <w:tcW w:w="3484" w:type="dxa"/>
            <w:gridSpan w:val="3"/>
            <w:vAlign w:val="center"/>
          </w:tcPr>
          <w:p w:rsidR="00F075B2" w:rsidRPr="00CF3A08" w:rsidRDefault="00F075B2" w:rsidP="00F42F12">
            <w:pPr>
              <w:ind w:firstLine="0"/>
              <w:jc w:val="center"/>
              <w:rPr>
                <w:rFonts w:cs="Times New Roman"/>
                <w:b/>
                <w:sz w:val="20"/>
                <w:szCs w:val="20"/>
              </w:rPr>
            </w:pPr>
            <w:r w:rsidRPr="00CF3A08">
              <w:rPr>
                <w:rFonts w:cs="Times New Roman"/>
                <w:b/>
                <w:sz w:val="20"/>
                <w:szCs w:val="20"/>
              </w:rPr>
              <w:t>QUOCIENTE LOCACIONAL</w:t>
            </w:r>
          </w:p>
        </w:tc>
      </w:tr>
      <w:tr w:rsidR="00F075B2" w:rsidRPr="00CF3A08" w:rsidTr="00F42F12">
        <w:trPr>
          <w:jc w:val="center"/>
        </w:trPr>
        <w:tc>
          <w:tcPr>
            <w:tcW w:w="1969" w:type="dxa"/>
            <w:vMerge/>
            <w:vAlign w:val="center"/>
          </w:tcPr>
          <w:p w:rsidR="00F075B2" w:rsidRPr="00CF3A08" w:rsidRDefault="00F075B2" w:rsidP="00F42F12">
            <w:pPr>
              <w:ind w:firstLine="0"/>
              <w:jc w:val="center"/>
              <w:rPr>
                <w:rFonts w:cs="Times New Roman"/>
                <w:sz w:val="20"/>
                <w:szCs w:val="20"/>
              </w:rPr>
            </w:pPr>
          </w:p>
        </w:tc>
        <w:tc>
          <w:tcPr>
            <w:tcW w:w="1310"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Fundamental</w:t>
            </w:r>
          </w:p>
        </w:tc>
        <w:tc>
          <w:tcPr>
            <w:tcW w:w="1010"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Médio</w:t>
            </w:r>
          </w:p>
        </w:tc>
        <w:tc>
          <w:tcPr>
            <w:tcW w:w="1008"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Total</w:t>
            </w:r>
          </w:p>
        </w:tc>
        <w:tc>
          <w:tcPr>
            <w:tcW w:w="1361" w:type="dxa"/>
            <w:vAlign w:val="center"/>
          </w:tcPr>
          <w:p w:rsidR="00F075B2" w:rsidRPr="00CF3A08" w:rsidRDefault="00F075B2" w:rsidP="00F42F12">
            <w:pPr>
              <w:ind w:firstLine="0"/>
              <w:jc w:val="center"/>
              <w:rPr>
                <w:rFonts w:cs="Times New Roman"/>
                <w:b/>
                <w:sz w:val="20"/>
                <w:szCs w:val="20"/>
              </w:rPr>
            </w:pPr>
            <w:r w:rsidRPr="00CF3A08">
              <w:rPr>
                <w:rFonts w:cs="Times New Roman"/>
                <w:b/>
                <w:sz w:val="20"/>
                <w:szCs w:val="20"/>
              </w:rPr>
              <w:t>Fundamental</w:t>
            </w:r>
          </w:p>
        </w:tc>
        <w:tc>
          <w:tcPr>
            <w:tcW w:w="1010" w:type="dxa"/>
            <w:vAlign w:val="center"/>
          </w:tcPr>
          <w:p w:rsidR="00F075B2" w:rsidRPr="00CF3A08" w:rsidRDefault="00F075B2" w:rsidP="00F42F12">
            <w:pPr>
              <w:ind w:firstLine="0"/>
              <w:jc w:val="center"/>
              <w:rPr>
                <w:rFonts w:cs="Times New Roman"/>
                <w:b/>
                <w:sz w:val="20"/>
                <w:szCs w:val="20"/>
              </w:rPr>
            </w:pPr>
            <w:r w:rsidRPr="00CF3A08">
              <w:rPr>
                <w:rFonts w:cs="Times New Roman"/>
                <w:b/>
                <w:sz w:val="20"/>
                <w:szCs w:val="20"/>
              </w:rPr>
              <w:t>Médio</w:t>
            </w:r>
          </w:p>
        </w:tc>
        <w:tc>
          <w:tcPr>
            <w:tcW w:w="1113" w:type="dxa"/>
            <w:vAlign w:val="center"/>
          </w:tcPr>
          <w:p w:rsidR="00F075B2" w:rsidRPr="00CF3A08" w:rsidRDefault="00F075B2" w:rsidP="00F42F12">
            <w:pPr>
              <w:ind w:firstLine="0"/>
              <w:jc w:val="center"/>
              <w:rPr>
                <w:rFonts w:cs="Times New Roman"/>
                <w:b/>
                <w:sz w:val="20"/>
                <w:szCs w:val="20"/>
              </w:rPr>
            </w:pPr>
            <w:r w:rsidRPr="00CF3A08">
              <w:rPr>
                <w:rFonts w:cs="Times New Roman"/>
                <w:b/>
                <w:sz w:val="20"/>
                <w:szCs w:val="20"/>
              </w:rPr>
              <w:t>Total</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Brasil</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15%</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16%</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13%</w:t>
            </w:r>
          </w:p>
        </w:tc>
        <w:tc>
          <w:tcPr>
            <w:tcW w:w="1361" w:type="dxa"/>
            <w:vAlign w:val="center"/>
          </w:tcPr>
          <w:p w:rsidR="00F075B2" w:rsidRPr="00CF3A08" w:rsidRDefault="00F075B2" w:rsidP="00F42F12">
            <w:pPr>
              <w:ind w:firstLine="0"/>
              <w:jc w:val="center"/>
              <w:rPr>
                <w:rFonts w:cs="Times New Roman"/>
                <w:b/>
                <w:color w:val="000000"/>
                <w:sz w:val="20"/>
                <w:szCs w:val="20"/>
              </w:rPr>
            </w:pPr>
          </w:p>
        </w:tc>
        <w:tc>
          <w:tcPr>
            <w:tcW w:w="1010" w:type="dxa"/>
            <w:vAlign w:val="center"/>
          </w:tcPr>
          <w:p w:rsidR="00F075B2" w:rsidRPr="00CF3A08" w:rsidRDefault="00F075B2" w:rsidP="00F42F12">
            <w:pPr>
              <w:ind w:firstLine="0"/>
              <w:jc w:val="center"/>
              <w:rPr>
                <w:rFonts w:cs="Times New Roman"/>
                <w:b/>
                <w:color w:val="000000"/>
                <w:sz w:val="20"/>
                <w:szCs w:val="20"/>
              </w:rPr>
            </w:pPr>
          </w:p>
        </w:tc>
        <w:tc>
          <w:tcPr>
            <w:tcW w:w="1113" w:type="dxa"/>
            <w:vAlign w:val="center"/>
          </w:tcPr>
          <w:p w:rsidR="00F075B2" w:rsidRPr="00CF3A08" w:rsidRDefault="00F075B2" w:rsidP="00F42F12">
            <w:pPr>
              <w:ind w:firstLine="0"/>
              <w:jc w:val="center"/>
              <w:rPr>
                <w:rFonts w:cs="Times New Roman"/>
                <w:b/>
                <w:color w:val="000000"/>
                <w:sz w:val="20"/>
                <w:szCs w:val="20"/>
              </w:rPr>
            </w:pP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São Luís</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36%</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17%</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31%</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2,2</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1,3</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2,0</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Imperatriz</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24%</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14%</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22%</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1,5</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1,1</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1,4</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Balsas</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18%</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18%</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18%</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1,1</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1,4</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1,2</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Açailândia</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10%</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7%</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10%</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0,6</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0,6</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0,6</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São José de Ribamar</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24%</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8%</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22%</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1,5</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0,6</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1,4</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Caxias</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8%</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4%</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7%</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0,5</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0,3</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0,5</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Timon</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13%</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6%</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11%</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0,8</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0,5</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0,7</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Bacabal</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19%</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9%</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16%</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1,1</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0,7</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1,1</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Santa Inês</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18%</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11%</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16%</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1,1</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0,8</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1,0</w:t>
            </w:r>
          </w:p>
        </w:tc>
      </w:tr>
      <w:tr w:rsidR="00F075B2" w:rsidRPr="00CF3A08" w:rsidTr="00F42F12">
        <w:trPr>
          <w:jc w:val="center"/>
        </w:trPr>
        <w:tc>
          <w:tcPr>
            <w:tcW w:w="1969" w:type="dxa"/>
            <w:vAlign w:val="center"/>
          </w:tcPr>
          <w:p w:rsidR="00F075B2" w:rsidRPr="00CF3A08" w:rsidRDefault="00F075B2" w:rsidP="00F42F12">
            <w:pPr>
              <w:ind w:firstLine="0"/>
              <w:jc w:val="center"/>
              <w:rPr>
                <w:rFonts w:cs="Times New Roman"/>
                <w:sz w:val="20"/>
                <w:szCs w:val="20"/>
              </w:rPr>
            </w:pPr>
            <w:r w:rsidRPr="00CF3A08">
              <w:rPr>
                <w:rFonts w:cs="Times New Roman"/>
                <w:sz w:val="20"/>
                <w:szCs w:val="20"/>
              </w:rPr>
              <w:t>Codó</w:t>
            </w:r>
          </w:p>
        </w:tc>
        <w:tc>
          <w:tcPr>
            <w:tcW w:w="13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12%</w:t>
            </w:r>
          </w:p>
        </w:tc>
        <w:tc>
          <w:tcPr>
            <w:tcW w:w="1010"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8%</w:t>
            </w:r>
          </w:p>
        </w:tc>
        <w:tc>
          <w:tcPr>
            <w:tcW w:w="1008" w:type="dxa"/>
            <w:vAlign w:val="center"/>
          </w:tcPr>
          <w:p w:rsidR="00F075B2" w:rsidRPr="00CF3A08" w:rsidRDefault="00F075B2" w:rsidP="00F42F12">
            <w:pPr>
              <w:ind w:firstLine="0"/>
              <w:jc w:val="center"/>
              <w:rPr>
                <w:rFonts w:cs="Times New Roman"/>
                <w:color w:val="000000"/>
                <w:sz w:val="20"/>
                <w:szCs w:val="20"/>
              </w:rPr>
            </w:pPr>
            <w:r w:rsidRPr="00CF3A08">
              <w:rPr>
                <w:rFonts w:cs="Times New Roman"/>
                <w:color w:val="000000"/>
                <w:sz w:val="20"/>
                <w:szCs w:val="20"/>
              </w:rPr>
              <w:t>11%</w:t>
            </w:r>
          </w:p>
        </w:tc>
        <w:tc>
          <w:tcPr>
            <w:tcW w:w="1361"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0,8</w:t>
            </w:r>
          </w:p>
        </w:tc>
        <w:tc>
          <w:tcPr>
            <w:tcW w:w="1010"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0,6</w:t>
            </w:r>
          </w:p>
        </w:tc>
        <w:tc>
          <w:tcPr>
            <w:tcW w:w="1113" w:type="dxa"/>
            <w:vAlign w:val="center"/>
          </w:tcPr>
          <w:p w:rsidR="00F075B2" w:rsidRPr="00CF3A08" w:rsidRDefault="00F075B2" w:rsidP="00F42F12">
            <w:pPr>
              <w:ind w:firstLine="0"/>
              <w:jc w:val="center"/>
              <w:rPr>
                <w:rFonts w:cs="Times New Roman"/>
                <w:b/>
                <w:color w:val="000000"/>
                <w:sz w:val="20"/>
                <w:szCs w:val="20"/>
              </w:rPr>
            </w:pPr>
            <w:r w:rsidRPr="00CF3A08">
              <w:rPr>
                <w:rFonts w:cs="Times New Roman"/>
                <w:b/>
                <w:color w:val="000000"/>
                <w:sz w:val="20"/>
                <w:szCs w:val="20"/>
              </w:rPr>
              <w:t>0,7</w:t>
            </w:r>
          </w:p>
        </w:tc>
      </w:tr>
    </w:tbl>
    <w:p w:rsidR="00F075B2" w:rsidRPr="00CF3A08" w:rsidRDefault="00F075B2" w:rsidP="00F075B2">
      <w:pPr>
        <w:rPr>
          <w:rFonts w:cs="Times New Roman"/>
          <w:sz w:val="20"/>
          <w:szCs w:val="20"/>
        </w:rPr>
      </w:pPr>
      <w:r w:rsidRPr="00CF3A08">
        <w:rPr>
          <w:rFonts w:cs="Times New Roman"/>
          <w:sz w:val="20"/>
          <w:szCs w:val="20"/>
        </w:rPr>
        <w:t>Fonte: Calculado pelo Autor</w:t>
      </w:r>
    </w:p>
    <w:p w:rsidR="00F075B2" w:rsidRDefault="00F075B2" w:rsidP="00F075B2">
      <w:pPr>
        <w:rPr>
          <w:rFonts w:cs="Times New Roman"/>
          <w:szCs w:val="24"/>
        </w:rPr>
      </w:pPr>
    </w:p>
    <w:p w:rsidR="00F075B2" w:rsidRDefault="00F075B2" w:rsidP="00F075B2">
      <w:pPr>
        <w:rPr>
          <w:rFonts w:cs="Times New Roman"/>
          <w:szCs w:val="24"/>
        </w:rPr>
      </w:pPr>
      <w:r>
        <w:rPr>
          <w:rFonts w:cs="Times New Roman"/>
          <w:szCs w:val="24"/>
        </w:rPr>
        <w:t>Percebe-se que a capital São Luís apresenta um QL totalmente destoante das outras nove maiores cidades do Maranhão, o QL total de São Luís foi de 2, enquanto Imperatriz, a segunda maior cidade apresentou um QL de 1,4. No entanto, ao analisar de forma os subsetores Fundamental e Médio, percebe-se que a cidade de Balsas possui um dinamismo elevado no Ensino Médio, tento inclusive superado a capital, ressaltando a importância de diferenciar entre os setores Fundamental e Médio.</w:t>
      </w:r>
    </w:p>
    <w:p w:rsidR="00F075B2" w:rsidRDefault="00F075B2" w:rsidP="00F075B2">
      <w:pPr>
        <w:rPr>
          <w:rFonts w:cs="Times New Roman"/>
          <w:szCs w:val="24"/>
        </w:rPr>
      </w:pPr>
      <w:r>
        <w:rPr>
          <w:rFonts w:cs="Times New Roman"/>
          <w:szCs w:val="24"/>
        </w:rPr>
        <w:t>De um modo geral quadro cidades não apresentaram dinamismo no mercado de Ensino Privado, Codó, Timon, Caxias e Açailândia. Destas, a cidade que apresentou o menor dinamismo nesse mercado foi Caxias, com valores, incrivelmente, pequenos se tratando de uma das maiores cidades do Estado.</w:t>
      </w:r>
    </w:p>
    <w:p w:rsidR="00F075B2" w:rsidRDefault="00F075B2" w:rsidP="00F075B2">
      <w:pPr>
        <w:rPr>
          <w:rFonts w:cs="Times New Roman"/>
          <w:szCs w:val="24"/>
        </w:rPr>
      </w:pPr>
      <w:r>
        <w:rPr>
          <w:rFonts w:cs="Times New Roman"/>
          <w:szCs w:val="24"/>
        </w:rPr>
        <w:t>As cidades de maior dinamismo foram respectivamente, São Luís, Imperatriz, Balsas e São José de Ribamar. No entanto, é importante ressaltar que apenas as três primeiras apresentaram dinamismo tanto no Ensino Fundamental como no Médio. A cidade de São José de Ribamar apresentou um QL de 0,6 no Ensino Médio.</w:t>
      </w:r>
    </w:p>
    <w:p w:rsidR="00F075B2" w:rsidRDefault="00F075B2" w:rsidP="00F075B2">
      <w:pPr>
        <w:rPr>
          <w:rFonts w:cs="Times New Roman"/>
          <w:szCs w:val="24"/>
        </w:rPr>
      </w:pPr>
      <w:r>
        <w:rPr>
          <w:rFonts w:cs="Times New Roman"/>
          <w:szCs w:val="24"/>
        </w:rPr>
        <w:lastRenderedPageBreak/>
        <w:t>Assim, apenas três das dez maiores cidades do Maranhão podem ser consideradas cidades com um mercado de Ensino Privado dinâmico nos dois setores sendo, respectivamente, as três maiores cidades do Estado.</w:t>
      </w:r>
    </w:p>
    <w:p w:rsidR="00F075B2" w:rsidRDefault="00F075B2" w:rsidP="004C2DDE">
      <w:pPr>
        <w:rPr>
          <w:rFonts w:cs="Times New Roman"/>
          <w:szCs w:val="24"/>
        </w:rPr>
      </w:pPr>
      <w:r>
        <w:rPr>
          <w:rFonts w:cs="Times New Roman"/>
          <w:szCs w:val="24"/>
        </w:rPr>
        <w:t>É importante chamar atenção para a cidade de Açailândia que, apesar de ser a quarta maior cidade do Estado apresentou um QL de 0,6 em ambos os setores, mostrando que o mercado de Ensino Privado é muito fraco nessa região.</w:t>
      </w:r>
    </w:p>
    <w:p w:rsidR="00F075B2" w:rsidRDefault="00F075B2" w:rsidP="00F075B2">
      <w:pPr>
        <w:rPr>
          <w:rFonts w:cs="Times New Roman"/>
          <w:szCs w:val="24"/>
        </w:rPr>
      </w:pPr>
    </w:p>
    <w:p w:rsidR="004C2DDE" w:rsidRDefault="004C2DDE" w:rsidP="00F075B2">
      <w:pPr>
        <w:rPr>
          <w:rFonts w:cs="Times New Roman"/>
          <w:szCs w:val="24"/>
        </w:rPr>
      </w:pPr>
    </w:p>
    <w:p w:rsidR="00F075B2" w:rsidRPr="00CF3A08" w:rsidRDefault="004C2DDE" w:rsidP="00F075B2">
      <w:pPr>
        <w:ind w:firstLine="0"/>
        <w:rPr>
          <w:rFonts w:cs="Times New Roman"/>
          <w:b/>
          <w:szCs w:val="24"/>
        </w:rPr>
      </w:pPr>
      <w:r>
        <w:rPr>
          <w:rFonts w:cs="Times New Roman"/>
          <w:b/>
          <w:szCs w:val="24"/>
        </w:rPr>
        <w:t xml:space="preserve">5 </w:t>
      </w:r>
      <w:r w:rsidR="00F075B2" w:rsidRPr="00CF3A08">
        <w:rPr>
          <w:rFonts w:cs="Times New Roman"/>
          <w:b/>
          <w:szCs w:val="24"/>
        </w:rPr>
        <w:t>CONCLUSÃO</w:t>
      </w:r>
    </w:p>
    <w:p w:rsidR="00F075B2" w:rsidRDefault="00F075B2" w:rsidP="00F075B2">
      <w:pPr>
        <w:rPr>
          <w:rFonts w:cs="Times New Roman"/>
          <w:szCs w:val="24"/>
        </w:rPr>
      </w:pPr>
    </w:p>
    <w:p w:rsidR="00F075B2" w:rsidRDefault="00F075B2" w:rsidP="00F075B2">
      <w:pPr>
        <w:rPr>
          <w:rFonts w:cs="Times New Roman"/>
          <w:szCs w:val="24"/>
        </w:rPr>
      </w:pPr>
      <w:r>
        <w:rPr>
          <w:rFonts w:cs="Times New Roman"/>
          <w:szCs w:val="24"/>
        </w:rPr>
        <w:t>O Maranhão é uma das unidades federativas fracas tanto no quesito Renda, como Educação, essa constatação acaba por influenciar o dinamismo da Educação Privada nas dez maiores cidades do Estado. Dentre todas as cidades observadas apenas três apresentaram dinamismo nos dois setores desse mercado.</w:t>
      </w:r>
    </w:p>
    <w:p w:rsidR="00F075B2" w:rsidRDefault="00F075B2" w:rsidP="00F075B2">
      <w:pPr>
        <w:rPr>
          <w:rFonts w:cs="Times New Roman"/>
          <w:szCs w:val="24"/>
        </w:rPr>
      </w:pPr>
      <w:r>
        <w:rPr>
          <w:rFonts w:cs="Times New Roman"/>
          <w:szCs w:val="24"/>
        </w:rPr>
        <w:t>Por competir, indiretamente, com o Ensino Público, o Ensino Privado necessita de uma classe média com poder aquisitivo suficiente para abrir mão da gratuidade do ensino e custear uma educação de melhor qualidade para seus filhos, nesse sentido, a falta de dinamismo desse mercado reflete a baixa distribuição de renda nessa região.</w:t>
      </w:r>
    </w:p>
    <w:p w:rsidR="00F075B2" w:rsidRDefault="00F075B2" w:rsidP="00F075B2">
      <w:pPr>
        <w:rPr>
          <w:rFonts w:cs="Times New Roman"/>
          <w:szCs w:val="24"/>
        </w:rPr>
      </w:pPr>
      <w:r>
        <w:rPr>
          <w:rFonts w:cs="Times New Roman"/>
          <w:szCs w:val="24"/>
        </w:rPr>
        <w:t>As três cidades que apresentaram dinamismo são cidades economicamente diferentes, onde, São Luís possui uma economia mais voltada para o turismo e outros serviços. A cidade de Imperatriz possui seu forte nos serviços, no entanto, passa por um crescente aumento a participação da indústria, enquanto Balsas é um dos maiores exportadores de Soja do País. Nesse sentido, acredita-se que independente das características econômicas de cada cidade, o dinamismo no mercado de Ensino Privado está diretamente relacionado com a distribuição de renda dessa população.</w:t>
      </w:r>
    </w:p>
    <w:p w:rsidR="00F075B2" w:rsidRDefault="00F075B2" w:rsidP="00F075B2">
      <w:pPr>
        <w:rPr>
          <w:rFonts w:cs="Times New Roman"/>
          <w:szCs w:val="24"/>
        </w:rPr>
      </w:pPr>
    </w:p>
    <w:p w:rsidR="00F075B2" w:rsidRPr="00BA51A4" w:rsidRDefault="00F075B2" w:rsidP="00F075B2">
      <w:pPr>
        <w:ind w:firstLine="0"/>
        <w:rPr>
          <w:rFonts w:cs="Times New Roman"/>
          <w:b/>
          <w:szCs w:val="24"/>
        </w:rPr>
      </w:pPr>
      <w:r>
        <w:rPr>
          <w:rFonts w:cs="Times New Roman"/>
          <w:b/>
          <w:szCs w:val="24"/>
        </w:rPr>
        <w:t>REFERÊ</w:t>
      </w:r>
      <w:r w:rsidRPr="00BA51A4">
        <w:rPr>
          <w:rFonts w:cs="Times New Roman"/>
          <w:b/>
          <w:szCs w:val="24"/>
        </w:rPr>
        <w:t>NCIAS</w:t>
      </w:r>
    </w:p>
    <w:p w:rsidR="00F075B2" w:rsidRPr="00BA51A4"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cs="Times New Roman"/>
          <w:szCs w:val="24"/>
        </w:rPr>
      </w:pPr>
      <w:r w:rsidRPr="00BA51A4">
        <w:rPr>
          <w:rFonts w:cs="Times New Roman"/>
          <w:szCs w:val="24"/>
        </w:rPr>
        <w:t xml:space="preserve">ALVES. Manuel. </w:t>
      </w:r>
      <w:r w:rsidRPr="00D33468">
        <w:rPr>
          <w:rFonts w:cs="Times New Roman"/>
          <w:i/>
          <w:szCs w:val="24"/>
        </w:rPr>
        <w:t xml:space="preserve">A histórica contribuição do </w:t>
      </w:r>
      <w:r>
        <w:rPr>
          <w:rFonts w:cs="Times New Roman"/>
          <w:i/>
          <w:szCs w:val="24"/>
        </w:rPr>
        <w:t>Ensino Privado</w:t>
      </w:r>
      <w:r w:rsidRPr="00D33468">
        <w:rPr>
          <w:rFonts w:cs="Times New Roman"/>
          <w:i/>
          <w:szCs w:val="24"/>
        </w:rPr>
        <w:t xml:space="preserve"> no Brasil</w:t>
      </w:r>
      <w:r w:rsidRPr="00BA51A4">
        <w:rPr>
          <w:rFonts w:cs="Times New Roman"/>
          <w:szCs w:val="24"/>
        </w:rPr>
        <w:t>. Disponível em: &lt;http://revistaseletronicas.pucrs.br/ojs/index.php/faced/article/viewFile/5139/3775</w:t>
      </w:r>
      <w:proofErr w:type="gramStart"/>
      <w:r w:rsidRPr="00BA51A4">
        <w:rPr>
          <w:rFonts w:cs="Times New Roman"/>
          <w:szCs w:val="24"/>
        </w:rPr>
        <w:t>&gt; Aceso</w:t>
      </w:r>
      <w:proofErr w:type="gramEnd"/>
      <w:r w:rsidRPr="00BA51A4">
        <w:rPr>
          <w:rFonts w:cs="Times New Roman"/>
          <w:szCs w:val="24"/>
        </w:rPr>
        <w:t xml:space="preserve"> em 01 de dezembro de 2017</w:t>
      </w:r>
    </w:p>
    <w:p w:rsidR="00F075B2" w:rsidRPr="00BA51A4"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cs="Times New Roman"/>
          <w:szCs w:val="24"/>
        </w:rPr>
      </w:pPr>
      <w:r w:rsidRPr="00BA51A4">
        <w:rPr>
          <w:rFonts w:cs="Times New Roman"/>
          <w:szCs w:val="24"/>
        </w:rPr>
        <w:t xml:space="preserve">BRASIL. </w:t>
      </w:r>
      <w:r w:rsidRPr="00D33468">
        <w:rPr>
          <w:rFonts w:cs="Times New Roman"/>
          <w:i/>
          <w:szCs w:val="24"/>
        </w:rPr>
        <w:t>Constituição Federal de 1988</w:t>
      </w:r>
      <w:r w:rsidRPr="00BA51A4">
        <w:rPr>
          <w:rFonts w:cs="Times New Roman"/>
          <w:szCs w:val="24"/>
        </w:rPr>
        <w:t>. Disponível em: &lt;http://www.planalto.gov.br/ccivil_03/constituicao/constituicao.htm&gt; Acesso em 01 de dezembro de 2017</w:t>
      </w:r>
    </w:p>
    <w:p w:rsidR="00F075B2"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cs="Times New Roman"/>
          <w:szCs w:val="24"/>
        </w:rPr>
      </w:pPr>
      <w:r w:rsidRPr="00BA51A4">
        <w:rPr>
          <w:rFonts w:cs="Times New Roman"/>
          <w:szCs w:val="24"/>
        </w:rPr>
        <w:lastRenderedPageBreak/>
        <w:t xml:space="preserve">CROCCO. Marco Aurélio, </w:t>
      </w:r>
      <w:proofErr w:type="spellStart"/>
      <w:r w:rsidRPr="00BA51A4">
        <w:rPr>
          <w:rFonts w:cs="Times New Roman"/>
          <w:szCs w:val="24"/>
        </w:rPr>
        <w:t>at</w:t>
      </w:r>
      <w:proofErr w:type="spellEnd"/>
      <w:r w:rsidRPr="00BA51A4">
        <w:rPr>
          <w:rFonts w:cs="Times New Roman"/>
          <w:szCs w:val="24"/>
        </w:rPr>
        <w:t xml:space="preserve"> al. </w:t>
      </w:r>
      <w:r w:rsidRPr="00D33468">
        <w:rPr>
          <w:rFonts w:cs="Times New Roman"/>
          <w:bCs/>
          <w:i/>
          <w:szCs w:val="24"/>
        </w:rPr>
        <w:t>Metodologia de identificação de aglomerações produtivas locais</w:t>
      </w:r>
      <w:r w:rsidRPr="00BA51A4">
        <w:rPr>
          <w:rFonts w:cs="Times New Roman"/>
          <w:bCs/>
          <w:szCs w:val="24"/>
        </w:rPr>
        <w:t>. Disponível em: &lt;</w:t>
      </w:r>
      <w:r w:rsidRPr="00BA51A4">
        <w:rPr>
          <w:rFonts w:cs="Times New Roman"/>
          <w:szCs w:val="24"/>
        </w:rPr>
        <w:t>http://www.scielo.br/scielo.php?script=sci_arttext&amp;pid=S0103-63512006000200001&gt; Acesso em 01 de dezembro de 2017</w:t>
      </w:r>
    </w:p>
    <w:p w:rsidR="00F075B2" w:rsidRPr="00BA51A4"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eastAsia="Times New Roman" w:cs="Times New Roman"/>
          <w:szCs w:val="24"/>
          <w:lang w:eastAsia="pt-BR"/>
        </w:rPr>
      </w:pPr>
      <w:r w:rsidRPr="00BA51A4">
        <w:rPr>
          <w:rFonts w:eastAsia="Times New Roman" w:cs="Times New Roman"/>
          <w:szCs w:val="24"/>
          <w:lang w:eastAsia="pt-BR"/>
        </w:rPr>
        <w:t xml:space="preserve">GIL, Antônio Carlos. </w:t>
      </w:r>
      <w:r w:rsidRPr="00BA51A4">
        <w:rPr>
          <w:rFonts w:eastAsia="Times New Roman" w:cs="Times New Roman"/>
          <w:i/>
          <w:szCs w:val="24"/>
          <w:lang w:eastAsia="pt-BR"/>
        </w:rPr>
        <w:t>Como elaborar projetos de pesquisa – 5º Ed</w:t>
      </w:r>
      <w:r w:rsidRPr="00BA51A4">
        <w:rPr>
          <w:rFonts w:eastAsia="Times New Roman" w:cs="Times New Roman"/>
          <w:szCs w:val="24"/>
          <w:lang w:eastAsia="pt-BR"/>
        </w:rPr>
        <w:t>. São Paulo: Atlas, 2010.</w:t>
      </w:r>
    </w:p>
    <w:p w:rsidR="00F075B2" w:rsidRPr="00BA51A4"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cs="Times New Roman"/>
          <w:szCs w:val="24"/>
        </w:rPr>
      </w:pPr>
      <w:r w:rsidRPr="00BA51A4">
        <w:rPr>
          <w:rFonts w:cs="Times New Roman"/>
          <w:szCs w:val="24"/>
        </w:rPr>
        <w:t xml:space="preserve">IBGE. </w:t>
      </w:r>
      <w:r w:rsidRPr="00D33468">
        <w:rPr>
          <w:rFonts w:cs="Times New Roman"/>
          <w:i/>
          <w:szCs w:val="24"/>
        </w:rPr>
        <w:t>Instituto Brasileiro de Geografia e Estatística</w:t>
      </w:r>
      <w:r w:rsidRPr="00BA51A4">
        <w:rPr>
          <w:rFonts w:cs="Times New Roman"/>
          <w:szCs w:val="24"/>
        </w:rPr>
        <w:t>. Disponível em: &lt;https://cidades.ibge.gov.br/brasil/ma/codo/pesquisa/23/22469&gt; Acesso em 01 de dezembro de 2017</w:t>
      </w:r>
    </w:p>
    <w:p w:rsidR="00F075B2" w:rsidRPr="00BA51A4" w:rsidRDefault="00F075B2" w:rsidP="00F075B2">
      <w:pPr>
        <w:spacing w:line="240" w:lineRule="auto"/>
        <w:ind w:firstLine="0"/>
        <w:jc w:val="left"/>
        <w:rPr>
          <w:rFonts w:cs="Times New Roman"/>
          <w:szCs w:val="24"/>
        </w:rPr>
      </w:pPr>
    </w:p>
    <w:p w:rsidR="00F075B2" w:rsidRPr="00BA51A4" w:rsidRDefault="00F075B2" w:rsidP="00F075B2">
      <w:pPr>
        <w:spacing w:line="240" w:lineRule="auto"/>
        <w:ind w:firstLine="0"/>
        <w:jc w:val="left"/>
        <w:rPr>
          <w:rFonts w:cs="Times New Roman"/>
          <w:szCs w:val="24"/>
        </w:rPr>
      </w:pPr>
      <w:r w:rsidRPr="00BA51A4">
        <w:rPr>
          <w:rFonts w:cs="Times New Roman"/>
          <w:szCs w:val="24"/>
        </w:rPr>
        <w:t xml:space="preserve">INEP. </w:t>
      </w:r>
      <w:r w:rsidRPr="00D33468">
        <w:rPr>
          <w:rFonts w:cs="Times New Roman"/>
          <w:i/>
          <w:szCs w:val="24"/>
        </w:rPr>
        <w:t>Censo Escolar da Educação Básica</w:t>
      </w:r>
      <w:r w:rsidRPr="00BA51A4">
        <w:rPr>
          <w:rFonts w:cs="Times New Roman"/>
          <w:szCs w:val="24"/>
        </w:rPr>
        <w:t xml:space="preserve"> 2016. Disponível em: &lt;http://portal.mec.gov.br/docman/fevereiro-2017-pdf/59931-app-censo-escolar-da-educacao-basica-2016-pdf-1/file&gt; Acesso em 01 de dezembro de 2017</w:t>
      </w:r>
    </w:p>
    <w:p w:rsidR="00027B70" w:rsidRPr="00FA3A2E" w:rsidRDefault="00027B70" w:rsidP="004C7AB7">
      <w:pPr>
        <w:ind w:firstLine="0"/>
        <w:rPr>
          <w:rFonts w:cs="Times New Roman"/>
          <w:noProof/>
          <w:color w:val="000000" w:themeColor="text1"/>
        </w:rPr>
      </w:pPr>
    </w:p>
    <w:p w:rsidR="00027B70" w:rsidRPr="00FA3A2E" w:rsidRDefault="00027B70" w:rsidP="00027B70">
      <w:pPr>
        <w:rPr>
          <w:rFonts w:cs="Times New Roman"/>
          <w:color w:val="000000" w:themeColor="text1"/>
        </w:rPr>
      </w:pPr>
    </w:p>
    <w:p w:rsidR="00027B70" w:rsidRPr="00FA3A2E" w:rsidRDefault="00027B70" w:rsidP="00027B70">
      <w:pPr>
        <w:rPr>
          <w:rFonts w:cs="Times New Roman"/>
          <w:color w:val="000000" w:themeColor="text1"/>
        </w:rPr>
      </w:pPr>
    </w:p>
    <w:p w:rsidR="00027B70" w:rsidRPr="00FA3A2E" w:rsidRDefault="00027B70" w:rsidP="00027B70">
      <w:pPr>
        <w:rPr>
          <w:rFonts w:cs="Times New Roman"/>
          <w:color w:val="000000" w:themeColor="text1"/>
        </w:rPr>
      </w:pPr>
    </w:p>
    <w:p w:rsidR="00027B70" w:rsidRPr="00FA3A2E" w:rsidRDefault="00027B70" w:rsidP="00027B70">
      <w:pPr>
        <w:rPr>
          <w:rFonts w:cs="Times New Roman"/>
          <w:color w:val="000000" w:themeColor="text1"/>
        </w:rPr>
      </w:pPr>
    </w:p>
    <w:p w:rsidR="00027B70" w:rsidRPr="00FA3A2E" w:rsidRDefault="00027B70" w:rsidP="00027B70">
      <w:pPr>
        <w:rPr>
          <w:rFonts w:cs="Times New Roman"/>
          <w:color w:val="000000" w:themeColor="text1"/>
        </w:rPr>
      </w:pPr>
    </w:p>
    <w:p w:rsidR="00027B70" w:rsidRPr="00FA3A2E" w:rsidRDefault="00027B70" w:rsidP="00027B70">
      <w:pPr>
        <w:rPr>
          <w:rFonts w:cs="Times New Roman"/>
          <w:color w:val="000000" w:themeColor="text1"/>
        </w:rPr>
      </w:pPr>
    </w:p>
    <w:p w:rsidR="00027B70" w:rsidRPr="00FA3A2E" w:rsidRDefault="00027B70" w:rsidP="00832D7E">
      <w:pPr>
        <w:ind w:firstLine="0"/>
        <w:rPr>
          <w:rFonts w:cs="Times New Roman"/>
          <w:color w:val="000000" w:themeColor="text1"/>
        </w:rPr>
      </w:pPr>
    </w:p>
    <w:p w:rsidR="00667B21" w:rsidRPr="00FA3A2E" w:rsidRDefault="00027B70" w:rsidP="00832D7E">
      <w:pPr>
        <w:tabs>
          <w:tab w:val="left" w:pos="3783"/>
        </w:tabs>
        <w:ind w:firstLine="0"/>
        <w:rPr>
          <w:rFonts w:cs="Times New Roman"/>
          <w:color w:val="000000" w:themeColor="text1"/>
        </w:rPr>
      </w:pPr>
      <w:r w:rsidRPr="00FA3A2E">
        <w:rPr>
          <w:rFonts w:cs="Times New Roman"/>
          <w:color w:val="000000" w:themeColor="text1"/>
        </w:rPr>
        <w:tab/>
      </w:r>
    </w:p>
    <w:sectPr w:rsidR="00667B21" w:rsidRPr="00FA3A2E" w:rsidSect="00353A11">
      <w:headerReference w:type="even" r:id="rId10"/>
      <w:headerReference w:type="default" r:id="rId11"/>
      <w:footerReference w:type="even" r:id="rId12"/>
      <w:footerReference w:type="default" r:id="rId13"/>
      <w:headerReference w:type="first" r:id="rId14"/>
      <w:footerReference w:type="first" r:id="rId15"/>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770" w:rsidRDefault="00846770" w:rsidP="004C7AB7">
      <w:pPr>
        <w:spacing w:line="240" w:lineRule="auto"/>
      </w:pPr>
      <w:r>
        <w:separator/>
      </w:r>
    </w:p>
  </w:endnote>
  <w:endnote w:type="continuationSeparator" w:id="0">
    <w:p w:rsidR="00846770" w:rsidRDefault="0084677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IKKO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770" w:rsidRDefault="00846770" w:rsidP="004C7AB7">
      <w:pPr>
        <w:spacing w:line="240" w:lineRule="auto"/>
      </w:pPr>
      <w:r>
        <w:separator/>
      </w:r>
    </w:p>
  </w:footnote>
  <w:footnote w:type="continuationSeparator" w:id="0">
    <w:p w:rsidR="00846770" w:rsidRDefault="0084677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A11" w:rsidRDefault="00353A11">
    <w:pPr>
      <w:pStyle w:val="Cabealho"/>
      <w:jc w:val="right"/>
    </w:pPr>
  </w:p>
  <w:p w:rsidR="00353A11" w:rsidRPr="000446E0" w:rsidRDefault="00353A11">
    <w:pPr>
      <w:pStyle w:val="Cabealho"/>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467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467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95955"/>
    <w:multiLevelType w:val="hybridMultilevel"/>
    <w:tmpl w:val="3C8AC3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23B8"/>
    <w:rsid w:val="00027B70"/>
    <w:rsid w:val="000461B9"/>
    <w:rsid w:val="00063126"/>
    <w:rsid w:val="000E531D"/>
    <w:rsid w:val="0010278D"/>
    <w:rsid w:val="0010290D"/>
    <w:rsid w:val="00140C4F"/>
    <w:rsid w:val="00200DAB"/>
    <w:rsid w:val="002A5E12"/>
    <w:rsid w:val="002B6CA6"/>
    <w:rsid w:val="003039AD"/>
    <w:rsid w:val="00317BD1"/>
    <w:rsid w:val="00350FAD"/>
    <w:rsid w:val="00353A11"/>
    <w:rsid w:val="003730CF"/>
    <w:rsid w:val="003954AB"/>
    <w:rsid w:val="003A1F9A"/>
    <w:rsid w:val="004025A2"/>
    <w:rsid w:val="0044735C"/>
    <w:rsid w:val="0046204F"/>
    <w:rsid w:val="00497918"/>
    <w:rsid w:val="004C2DDE"/>
    <w:rsid w:val="004C7AB7"/>
    <w:rsid w:val="004D30B1"/>
    <w:rsid w:val="00500771"/>
    <w:rsid w:val="005F2D2B"/>
    <w:rsid w:val="005F4ECF"/>
    <w:rsid w:val="00667B21"/>
    <w:rsid w:val="006A6C8E"/>
    <w:rsid w:val="006B53B1"/>
    <w:rsid w:val="006D6939"/>
    <w:rsid w:val="006F1707"/>
    <w:rsid w:val="007066D2"/>
    <w:rsid w:val="00716FBF"/>
    <w:rsid w:val="007B798D"/>
    <w:rsid w:val="007C1C1E"/>
    <w:rsid w:val="00832D7E"/>
    <w:rsid w:val="00833480"/>
    <w:rsid w:val="00835CBE"/>
    <w:rsid w:val="00846770"/>
    <w:rsid w:val="008601D2"/>
    <w:rsid w:val="00865382"/>
    <w:rsid w:val="008F07F4"/>
    <w:rsid w:val="00975E96"/>
    <w:rsid w:val="00A056B4"/>
    <w:rsid w:val="00A14424"/>
    <w:rsid w:val="00A9132B"/>
    <w:rsid w:val="00AB45FC"/>
    <w:rsid w:val="00B548B5"/>
    <w:rsid w:val="00BC09DA"/>
    <w:rsid w:val="00C14E81"/>
    <w:rsid w:val="00C330DA"/>
    <w:rsid w:val="00C7277E"/>
    <w:rsid w:val="00CB6B28"/>
    <w:rsid w:val="00D40719"/>
    <w:rsid w:val="00D57D31"/>
    <w:rsid w:val="00E2792E"/>
    <w:rsid w:val="00E46640"/>
    <w:rsid w:val="00EA6FDC"/>
    <w:rsid w:val="00F075B2"/>
    <w:rsid w:val="00F55312"/>
    <w:rsid w:val="00FA3A2E"/>
    <w:rsid w:val="00FC4D9E"/>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FD3B87-6842-4C80-A64B-BEACCCA8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AB45FC"/>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aliases w:val="CITAÇÃO"/>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353A11"/>
    <w:pPr>
      <w:autoSpaceDE w:val="0"/>
      <w:autoSpaceDN w:val="0"/>
      <w:adjustRightInd w:val="0"/>
      <w:spacing w:line="240" w:lineRule="auto"/>
    </w:pPr>
    <w:rPr>
      <w:rFonts w:ascii="IIKKON+TimesNewRoman,Bold" w:eastAsia="Times New Roman" w:hAnsi="IIKKON+TimesNewRoman,Bold" w:cs="IIKKON+TimesNewRoman,Bold"/>
      <w:color w:val="000000"/>
      <w:sz w:val="24"/>
      <w:szCs w:val="24"/>
      <w:lang w:eastAsia="pt-BR"/>
    </w:rPr>
  </w:style>
  <w:style w:type="paragraph" w:styleId="PargrafodaLista">
    <w:name w:val="List Paragraph"/>
    <w:basedOn w:val="Normal"/>
    <w:uiPriority w:val="34"/>
    <w:qFormat/>
    <w:rsid w:val="00353A11"/>
    <w:pPr>
      <w:ind w:left="720"/>
      <w:contextualSpacing/>
    </w:pPr>
  </w:style>
  <w:style w:type="paragraph" w:styleId="NormalWeb">
    <w:name w:val="Normal (Web)"/>
    <w:basedOn w:val="Normal"/>
    <w:uiPriority w:val="99"/>
    <w:rsid w:val="007C1C1E"/>
    <w:pPr>
      <w:spacing w:before="100" w:beforeAutospacing="1" w:after="100" w:afterAutospacing="1" w:line="240" w:lineRule="auto"/>
      <w:ind w:firstLine="0"/>
      <w:jc w:val="left"/>
    </w:pPr>
    <w:rPr>
      <w:rFonts w:eastAsia="Times New Roman" w:cs="Times New Roman"/>
      <w:color w:val="696969"/>
      <w:szCs w:val="24"/>
      <w:lang w:eastAsia="pt-BR"/>
    </w:rPr>
  </w:style>
  <w:style w:type="character" w:styleId="Forte">
    <w:name w:val="Strong"/>
    <w:uiPriority w:val="22"/>
    <w:qFormat/>
    <w:rsid w:val="00D40719"/>
    <w:rPr>
      <w:b/>
      <w:bCs/>
    </w:rPr>
  </w:style>
  <w:style w:type="character" w:customStyle="1" w:styleId="nome-autor">
    <w:name w:val="nome-autor"/>
    <w:rsid w:val="00D40719"/>
  </w:style>
  <w:style w:type="table" w:styleId="Tabelacomgrade">
    <w:name w:val="Table Grid"/>
    <w:basedOn w:val="Tabelanormal"/>
    <w:uiPriority w:val="39"/>
    <w:rsid w:val="00F07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AB45FC"/>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6C22-F21A-4FC7-B02A-71DB1326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2525</Words>
  <Characters>13639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Book</cp:lastModifiedBy>
  <cp:revision>4</cp:revision>
  <dcterms:created xsi:type="dcterms:W3CDTF">2018-10-17T00:55:00Z</dcterms:created>
  <dcterms:modified xsi:type="dcterms:W3CDTF">2018-10-17T01:14:00Z</dcterms:modified>
</cp:coreProperties>
</file>