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3C" w:rsidRPr="00292B56" w:rsidRDefault="0087793C" w:rsidP="00DB49B3">
      <w:pPr>
        <w:spacing w:after="200" w:line="240" w:lineRule="auto"/>
        <w:ind w:firstLine="0"/>
        <w:jc w:val="center"/>
        <w:rPr>
          <w:rFonts w:ascii="Arial" w:eastAsia="Calibri" w:hAnsi="Arial" w:cs="Arial"/>
          <w:b/>
          <w:bCs/>
          <w:szCs w:val="24"/>
        </w:rPr>
      </w:pPr>
      <w:r>
        <w:rPr>
          <w:rFonts w:ascii="Arial" w:eastAsia="Calibri" w:hAnsi="Arial" w:cs="Arial"/>
          <w:b/>
          <w:bCs/>
          <w:szCs w:val="24"/>
        </w:rPr>
        <w:t>A EJA NA COMUNIDADE RIBEIRINHA QUILOMBOLA DE ITACURUÇA</w:t>
      </w:r>
      <w:r w:rsidR="00371B93">
        <w:rPr>
          <w:rFonts w:ascii="Arial" w:eastAsia="Calibri" w:hAnsi="Arial" w:cs="Arial"/>
          <w:b/>
          <w:bCs/>
          <w:szCs w:val="24"/>
        </w:rPr>
        <w:t xml:space="preserve"> (Abaetetuba/PA):</w:t>
      </w:r>
      <w:r w:rsidR="008D79AA">
        <w:rPr>
          <w:rFonts w:ascii="Arial" w:eastAsia="Calibri" w:hAnsi="Arial" w:cs="Arial"/>
          <w:b/>
          <w:bCs/>
          <w:szCs w:val="24"/>
        </w:rPr>
        <w:t xml:space="preserve"> </w:t>
      </w:r>
      <w:r w:rsidR="00371B93">
        <w:rPr>
          <w:rFonts w:ascii="Arial" w:eastAsia="Calibri" w:hAnsi="Arial" w:cs="Arial"/>
          <w:b/>
          <w:bCs/>
          <w:szCs w:val="24"/>
        </w:rPr>
        <w:t>Na perspectiva de uma educação ao longo da vida.</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Calibri" w:cs="Times New Roman"/>
          <w:b/>
          <w:bCs/>
          <w:sz w:val="22"/>
        </w:rPr>
        <w:t xml:space="preserve"> </w:t>
      </w:r>
      <w:r w:rsidRPr="00292B56">
        <w:rPr>
          <w:rFonts w:eastAsia="Times New Roman" w:cs="Times New Roman"/>
          <w:color w:val="000000"/>
          <w:szCs w:val="24"/>
          <w:shd w:val="clear" w:color="auto" w:fill="FFFFFF"/>
          <w:lang w:eastAsia="pt-BR"/>
        </w:rPr>
        <w:t xml:space="preserve">CARDOSO, Maria Barbara da </w:t>
      </w:r>
      <w:proofErr w:type="gramStart"/>
      <w:r w:rsidRPr="00292B56">
        <w:rPr>
          <w:rFonts w:eastAsia="Times New Roman" w:cs="Times New Roman"/>
          <w:color w:val="000000"/>
          <w:szCs w:val="24"/>
          <w:shd w:val="clear" w:color="auto" w:fill="FFFFFF"/>
          <w:lang w:eastAsia="pt-BR"/>
        </w:rPr>
        <w:t>Costa</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 xml:space="preserve">PEREIRA, Maria do Socorro </w:t>
      </w:r>
      <w:proofErr w:type="gramStart"/>
      <w:r w:rsidRPr="00292B56">
        <w:rPr>
          <w:rFonts w:eastAsia="Times New Roman" w:cs="Times New Roman"/>
          <w:color w:val="000000"/>
          <w:szCs w:val="24"/>
          <w:shd w:val="clear" w:color="auto" w:fill="FFFFFF"/>
          <w:lang w:eastAsia="pt-BR"/>
        </w:rPr>
        <w:t>Vasconcelos</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DB49B3">
      <w:pPr>
        <w:ind w:left="822" w:firstLine="0"/>
        <w:rPr>
          <w:rFonts w:eastAsia="Calibri" w:cs="Times New Roman"/>
          <w:b/>
          <w:bCs/>
          <w:szCs w:val="24"/>
        </w:rPr>
      </w:pPr>
      <w:r w:rsidRPr="00292B56">
        <w:rPr>
          <w:rFonts w:eastAsia="Calibri" w:cs="Times New Roman"/>
          <w:b/>
          <w:bCs/>
          <w:szCs w:val="24"/>
        </w:rPr>
        <w:t>RESUMO</w:t>
      </w:r>
    </w:p>
    <w:p w:rsidR="00DB49B3" w:rsidRPr="00292B56" w:rsidRDefault="00DB49B3" w:rsidP="00DB49B3">
      <w:pPr>
        <w:autoSpaceDE w:val="0"/>
        <w:autoSpaceDN w:val="0"/>
        <w:adjustRightInd w:val="0"/>
        <w:spacing w:line="240" w:lineRule="auto"/>
        <w:ind w:firstLine="708"/>
        <w:rPr>
          <w:rFonts w:eastAsia="Calibri" w:cs="Times New Roman"/>
          <w:sz w:val="22"/>
        </w:rPr>
      </w:pPr>
      <w:r w:rsidRPr="00292B56">
        <w:rPr>
          <w:rFonts w:eastAsia="Calibri" w:cs="Times New Roman"/>
          <w:bCs/>
          <w:sz w:val="22"/>
        </w:rPr>
        <w:t>A Educação de Jovens e Adultos, recentemente vem se constituindo na dialogicidade de consensos e dissensos por uma educação ao longo da vida delineando-se, as especificidades dos sujeitos. Cabe nesta produção contribuir com reflexões pertinentes a EJA na comunidade ribeirinha quilombola</w:t>
      </w:r>
      <w:r w:rsidR="00A87822">
        <w:rPr>
          <w:rFonts w:eastAsia="Calibri" w:cs="Times New Roman"/>
          <w:bCs/>
          <w:sz w:val="22"/>
        </w:rPr>
        <w:t xml:space="preserve"> de </w:t>
      </w:r>
      <w:proofErr w:type="spellStart"/>
      <w:r w:rsidR="003C14A1">
        <w:rPr>
          <w:rFonts w:eastAsia="Calibri" w:cs="Times New Roman"/>
          <w:bCs/>
          <w:sz w:val="22"/>
        </w:rPr>
        <w:t>Itacuruçá</w:t>
      </w:r>
      <w:proofErr w:type="spellEnd"/>
      <w:r w:rsidR="00A87822">
        <w:rPr>
          <w:rFonts w:eastAsia="Calibri" w:cs="Times New Roman"/>
          <w:bCs/>
          <w:sz w:val="22"/>
        </w:rPr>
        <w:t xml:space="preserve"> (Abaetetuba/PA)</w:t>
      </w:r>
      <w:r w:rsidRPr="00292B56">
        <w:rPr>
          <w:rFonts w:eastAsia="Calibri" w:cs="Times New Roman"/>
          <w:bCs/>
          <w:sz w:val="22"/>
        </w:rPr>
        <w:t xml:space="preserve"> diante desta nova configuração no campo educacional e político. </w:t>
      </w:r>
      <w:r w:rsidRPr="00292B56">
        <w:rPr>
          <w:rFonts w:eastAsia="Calibri" w:cs="Times New Roman"/>
          <w:sz w:val="22"/>
          <w:lang w:eastAsia="x-none"/>
        </w:rPr>
        <w:t xml:space="preserve">O direito à educação é reconhecido mundialmente e está expresso na Declaração Universal dos Direitos Humanos, sendo aprovada pela Organização das Nações unidas (ONU) em 1949. Dessa forma, possibilidades de diálogos são propiciadas no campo educacional e político visando garantia de direitos que por muito tempo foi negado àqueles que vivem excluídos da sociedade. Utilizamos </w:t>
      </w:r>
      <w:r w:rsidR="00A87822">
        <w:rPr>
          <w:rFonts w:eastAsia="Calibri" w:cs="Times New Roman"/>
          <w:sz w:val="22"/>
          <w:lang w:eastAsia="x-none"/>
        </w:rPr>
        <w:t xml:space="preserve">a abordagem qualitativa com os seguintes </w:t>
      </w:r>
      <w:r w:rsidRPr="00292B56">
        <w:rPr>
          <w:rFonts w:eastAsia="Calibri" w:cs="Times New Roman"/>
          <w:sz w:val="22"/>
          <w:lang w:eastAsia="x-none"/>
        </w:rPr>
        <w:t>procedimentos metodológicos: pesquisa bibl</w:t>
      </w:r>
      <w:r w:rsidR="00A87822">
        <w:rPr>
          <w:rFonts w:eastAsia="Calibri" w:cs="Times New Roman"/>
          <w:sz w:val="22"/>
          <w:lang w:eastAsia="x-none"/>
        </w:rPr>
        <w:t xml:space="preserve">iográfica, análise dos </w:t>
      </w:r>
      <w:r w:rsidRPr="00292B56">
        <w:rPr>
          <w:rFonts w:eastAsia="Calibri" w:cs="Times New Roman"/>
          <w:sz w:val="22"/>
          <w:lang w:eastAsia="x-none"/>
        </w:rPr>
        <w:t>relatórios</w:t>
      </w:r>
      <w:r w:rsidR="00A87822">
        <w:rPr>
          <w:rFonts w:eastAsia="Calibri" w:cs="Times New Roman"/>
          <w:sz w:val="22"/>
          <w:lang w:eastAsia="x-none"/>
        </w:rPr>
        <w:t xml:space="preserve"> das Conferências de EJA</w:t>
      </w:r>
      <w:r w:rsidRPr="00292B56">
        <w:rPr>
          <w:rFonts w:eastAsia="Calibri" w:cs="Times New Roman"/>
          <w:sz w:val="22"/>
          <w:lang w:eastAsia="x-none"/>
        </w:rPr>
        <w:t xml:space="preserve">, registros da pesquisa de campo. </w:t>
      </w:r>
      <w:r w:rsidR="00BC3A0D">
        <w:rPr>
          <w:rFonts w:eastAsia="Calibri" w:cs="Times New Roman"/>
          <w:bCs/>
          <w:sz w:val="22"/>
        </w:rPr>
        <w:t xml:space="preserve">Como </w:t>
      </w:r>
      <w:proofErr w:type="gramStart"/>
      <w:r w:rsidR="00BC3A0D">
        <w:rPr>
          <w:rFonts w:eastAsia="Calibri" w:cs="Times New Roman"/>
          <w:bCs/>
          <w:sz w:val="22"/>
        </w:rPr>
        <w:t>resultado:</w:t>
      </w:r>
      <w:proofErr w:type="gramEnd"/>
      <w:r w:rsidRPr="00292B56">
        <w:rPr>
          <w:rFonts w:eastAsia="Calibri" w:cs="Times New Roman"/>
          <w:sz w:val="22"/>
          <w:lang w:eastAsia="x-none"/>
        </w:rPr>
        <w:t xml:space="preserve">1- </w:t>
      </w:r>
      <w:r w:rsidRPr="00292B56">
        <w:rPr>
          <w:rFonts w:eastAsia="Calibri" w:cs="Times New Roman"/>
          <w:bCs/>
          <w:sz w:val="22"/>
        </w:rPr>
        <w:t>A Educação d</w:t>
      </w:r>
      <w:r w:rsidR="008C68FF">
        <w:rPr>
          <w:rFonts w:eastAsia="Calibri" w:cs="Times New Roman"/>
          <w:bCs/>
          <w:sz w:val="22"/>
        </w:rPr>
        <w:t>e Jovens e Adultos no</w:t>
      </w:r>
      <w:r w:rsidRPr="00292B56">
        <w:rPr>
          <w:rFonts w:eastAsia="Calibri" w:cs="Times New Roman"/>
          <w:bCs/>
          <w:sz w:val="22"/>
        </w:rPr>
        <w:t xml:space="preserve"> contexto ribeirinho quilombola</w:t>
      </w:r>
      <w:r w:rsidR="003C14A1">
        <w:rPr>
          <w:rFonts w:eastAsia="Calibri" w:cs="Times New Roman"/>
          <w:bCs/>
          <w:sz w:val="22"/>
        </w:rPr>
        <w:t xml:space="preserve"> de </w:t>
      </w:r>
      <w:proofErr w:type="spellStart"/>
      <w:r w:rsidR="003C14A1">
        <w:rPr>
          <w:rFonts w:eastAsia="Calibri" w:cs="Times New Roman"/>
          <w:bCs/>
          <w:sz w:val="22"/>
        </w:rPr>
        <w:t>Itacuruça</w:t>
      </w:r>
      <w:proofErr w:type="spellEnd"/>
      <w:r w:rsidR="003C14A1">
        <w:rPr>
          <w:rFonts w:eastAsia="Calibri" w:cs="Times New Roman"/>
          <w:bCs/>
          <w:sz w:val="22"/>
        </w:rPr>
        <w:t xml:space="preserve"> (Abaetetuba/PA)</w:t>
      </w:r>
      <w:r w:rsidRPr="00292B56">
        <w:rPr>
          <w:rFonts w:eastAsia="Calibri" w:cs="Times New Roman"/>
          <w:bCs/>
          <w:sz w:val="22"/>
        </w:rPr>
        <w:t xml:space="preserve">. 2- </w:t>
      </w:r>
      <w:r w:rsidR="007302AC">
        <w:rPr>
          <w:rFonts w:eastAsia="Calibri" w:cs="Times New Roman"/>
          <w:bCs/>
          <w:sz w:val="22"/>
        </w:rPr>
        <w:t xml:space="preserve">EJA: </w:t>
      </w:r>
      <w:r w:rsidRPr="00292B56">
        <w:rPr>
          <w:rFonts w:eastAsia="Calibri" w:cs="Times New Roman"/>
          <w:sz w:val="22"/>
        </w:rPr>
        <w:t>No diálogo por uma educação ao lon</w:t>
      </w:r>
      <w:r w:rsidR="003C14A1">
        <w:rPr>
          <w:rFonts w:eastAsia="Calibri" w:cs="Times New Roman"/>
          <w:sz w:val="22"/>
        </w:rPr>
        <w:t>go da vida. Enfatizou-se</w:t>
      </w:r>
      <w:r w:rsidRPr="00292B56">
        <w:rPr>
          <w:rFonts w:eastAsia="Calibri" w:cs="Times New Roman"/>
          <w:sz w:val="22"/>
        </w:rPr>
        <w:t xml:space="preserve"> </w:t>
      </w:r>
      <w:r w:rsidR="003C14A1">
        <w:rPr>
          <w:rFonts w:eastAsia="Calibri" w:cs="Times New Roman"/>
          <w:sz w:val="22"/>
        </w:rPr>
        <w:t>o diálogo provocado pelo coletivo que busca</w:t>
      </w:r>
      <w:r w:rsidRPr="00292B56">
        <w:rPr>
          <w:rFonts w:eastAsia="Calibri" w:cs="Times New Roman"/>
          <w:sz w:val="22"/>
        </w:rPr>
        <w:t xml:space="preserve"> uma educação como garantia de direitos inerentes ao ser humano. Conclui-se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as-Chave: Educação de Jovens e Adult</w:t>
      </w:r>
      <w:r w:rsidR="003C14A1">
        <w:rPr>
          <w:rFonts w:eastAsia="Calibri" w:cs="Times New Roman"/>
          <w:sz w:val="22"/>
        </w:rPr>
        <w:t xml:space="preserve">os - Ribeirinhos </w:t>
      </w:r>
      <w:proofErr w:type="spellStart"/>
      <w:proofErr w:type="gramStart"/>
      <w:r w:rsidR="003C14A1">
        <w:rPr>
          <w:rFonts w:eastAsia="Calibri" w:cs="Times New Roman"/>
          <w:sz w:val="22"/>
        </w:rPr>
        <w:t>quilombolas,</w:t>
      </w:r>
      <w:proofErr w:type="gramEnd"/>
      <w:r w:rsidR="003C14A1">
        <w:rPr>
          <w:rFonts w:eastAsia="Calibri" w:cs="Times New Roman"/>
          <w:sz w:val="22"/>
        </w:rPr>
        <w:t>Diálogo</w:t>
      </w:r>
      <w:proofErr w:type="spellEnd"/>
      <w:r w:rsidRPr="00292B56">
        <w:rPr>
          <w:rFonts w:eastAsia="Calibri" w:cs="Times New Roman"/>
          <w:sz w:val="22"/>
        </w:rPr>
        <w:t>.</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 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realidade ribeirinha quilombola nos traz desafios e possibilidades de uma nova construção baseada em diálogos e uma relação mais horizontal entre os diversos sujeitos da educação. Assim, buscamos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da vida. Isto implica assumirmos a EJA além da escolarização, voltada a uma educação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 veio se tornar um marco  </w:t>
      </w:r>
      <w:r w:rsidRPr="00292B56">
        <w:rPr>
          <w:rFonts w:eastAsia="Calibri" w:cs="Times New Roman"/>
          <w:color w:val="000000"/>
          <w:szCs w:val="24"/>
        </w:rPr>
        <w:lastRenderedPageBreak/>
        <w:t>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No primeiro momen</w:t>
      </w:r>
      <w:r w:rsidR="00D25E4F">
        <w:rPr>
          <w:rFonts w:eastAsia="Calibri" w:cs="Times New Roman"/>
          <w:color w:val="000000"/>
          <w:szCs w:val="24"/>
        </w:rPr>
        <w:t>to desta produção, referiu-se</w:t>
      </w:r>
      <w:r w:rsidRPr="00292B56">
        <w:rPr>
          <w:rFonts w:eastAsia="Calibri" w:cs="Times New Roman"/>
          <w:color w:val="000000"/>
          <w:szCs w:val="24"/>
        </w:rPr>
        <w:t xml:space="preserve">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w:t>
      </w:r>
      <w:r w:rsidR="00AE452F">
        <w:rPr>
          <w:rFonts w:eastAsia="Calibri" w:cs="Times New Roman"/>
          <w:color w:val="000000"/>
          <w:szCs w:val="24"/>
        </w:rPr>
        <w:t>beirinha quilombola. Enfatiza-se</w:t>
      </w:r>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No segundo, com a pretensão de contribuir com o foco educacional da EJA na comunidade ri</w:t>
      </w:r>
      <w:r w:rsidR="00D25E4F">
        <w:rPr>
          <w:rFonts w:eastAsia="Calibri" w:cs="Times New Roman"/>
          <w:color w:val="000000"/>
          <w:szCs w:val="24"/>
        </w:rPr>
        <w:t>beirinha quilombola, abordou</w:t>
      </w:r>
      <w:r w:rsidR="00AE452F">
        <w:rPr>
          <w:rFonts w:eastAsia="Calibri" w:cs="Times New Roman"/>
          <w:color w:val="000000"/>
          <w:szCs w:val="24"/>
        </w:rPr>
        <w:t>-se</w:t>
      </w:r>
      <w:r w:rsidRPr="00292B56">
        <w:rPr>
          <w:rFonts w:eastAsia="Calibri" w:cs="Times New Roman"/>
          <w:color w:val="000000"/>
          <w:szCs w:val="24"/>
        </w:rPr>
        <w:t xml:space="preserve"> </w:t>
      </w:r>
      <w:r w:rsidRPr="00292B56">
        <w:rPr>
          <w:rFonts w:eastAsia="Calibri" w:cs="Times New Roman"/>
          <w:szCs w:val="24"/>
        </w:rPr>
        <w:t xml:space="preserve">momentos marcantes de construção e desconstrução que contribuíram nesta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Default="00DB49B3" w:rsidP="003C14A1">
      <w:pPr>
        <w:tabs>
          <w:tab w:val="left" w:pos="709"/>
        </w:tabs>
        <w:ind w:firstLine="0"/>
        <w:rPr>
          <w:rFonts w:ascii="Arial" w:eastAsia="Calibri" w:hAnsi="Arial" w:cs="Arial"/>
          <w:b/>
          <w:bCs/>
          <w:szCs w:val="24"/>
        </w:rPr>
      </w:pPr>
      <w:proofErr w:type="gramStart"/>
      <w:r w:rsidRPr="00292B56">
        <w:rPr>
          <w:rFonts w:eastAsia="Calibri" w:cs="Times New Roman"/>
          <w:b/>
          <w:bCs/>
          <w:szCs w:val="24"/>
        </w:rPr>
        <w:t>1</w:t>
      </w:r>
      <w:proofErr w:type="gramEnd"/>
      <w:r w:rsidR="007302AC">
        <w:rPr>
          <w:rFonts w:eastAsia="Calibri" w:cs="Times New Roman"/>
          <w:b/>
          <w:bCs/>
          <w:caps/>
          <w:szCs w:val="24"/>
        </w:rPr>
        <w:t xml:space="preserve"> </w:t>
      </w:r>
      <w:r w:rsidRPr="00292B56">
        <w:rPr>
          <w:rFonts w:eastAsia="Calibri" w:cs="Times New Roman"/>
          <w:b/>
          <w:bCs/>
          <w:caps/>
          <w:szCs w:val="24"/>
        </w:rPr>
        <w:t xml:space="preserve">A </w:t>
      </w:r>
      <w:r w:rsidRPr="00292B56">
        <w:rPr>
          <w:rFonts w:eastAsia="Calibri" w:cs="Times New Roman"/>
          <w:b/>
          <w:bCs/>
          <w:szCs w:val="24"/>
        </w:rPr>
        <w:t>Educação d</w:t>
      </w:r>
      <w:r w:rsidR="008C68FF">
        <w:rPr>
          <w:rFonts w:eastAsia="Calibri" w:cs="Times New Roman"/>
          <w:b/>
          <w:bCs/>
          <w:szCs w:val="24"/>
        </w:rPr>
        <w:t>e Jovens e Adultos no</w:t>
      </w:r>
      <w:r w:rsidRPr="00292B56">
        <w:rPr>
          <w:rFonts w:eastAsia="Calibri" w:cs="Times New Roman"/>
          <w:b/>
          <w:bCs/>
          <w:szCs w:val="24"/>
        </w:rPr>
        <w:t xml:space="preserve"> contexto ribeirinho quilombola</w:t>
      </w:r>
      <w:r w:rsidR="003C14A1">
        <w:rPr>
          <w:rFonts w:eastAsia="Calibri" w:cs="Times New Roman"/>
          <w:b/>
          <w:bCs/>
          <w:szCs w:val="24"/>
        </w:rPr>
        <w:t xml:space="preserve"> de </w:t>
      </w:r>
      <w:proofErr w:type="spellStart"/>
      <w:r w:rsidR="003C14A1">
        <w:rPr>
          <w:rFonts w:eastAsia="Calibri" w:cs="Times New Roman"/>
          <w:b/>
          <w:bCs/>
          <w:szCs w:val="24"/>
        </w:rPr>
        <w:t>Itacuruçá</w:t>
      </w:r>
      <w:proofErr w:type="spellEnd"/>
      <w:r w:rsidR="003C14A1">
        <w:rPr>
          <w:rFonts w:eastAsia="Calibri" w:cs="Times New Roman"/>
          <w:b/>
          <w:bCs/>
          <w:szCs w:val="24"/>
        </w:rPr>
        <w:t xml:space="preserve"> (Abaetetuba/PA)</w:t>
      </w:r>
      <w:r w:rsidRPr="00292B56">
        <w:rPr>
          <w:rFonts w:ascii="Arial" w:eastAsia="Calibri" w:hAnsi="Arial" w:cs="Arial"/>
          <w:b/>
          <w:bCs/>
          <w:szCs w:val="24"/>
        </w:rPr>
        <w:t>.</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Freire (1983, 1986) nos incita a partirmos da leitura do mundo, da realidade, da história dos sujeitos, para de fato, fazermos leitura da palavra. Dessa forma, vamos nos ater ao remanso dos saberes, que segundo os ribeirinhos, significa um movimento lento das águas, de certa forma, águas sossegadas.</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Assim, no remanso das á</w:t>
      </w:r>
      <w:r w:rsidR="00410D45">
        <w:rPr>
          <w:rFonts w:eastAsia="Calibri" w:cs="Times New Roman"/>
          <w:bCs/>
          <w:szCs w:val="24"/>
        </w:rPr>
        <w:t>guas da comunidade remanescentes</w:t>
      </w:r>
      <w:r w:rsidRPr="00292B56">
        <w:rPr>
          <w:rFonts w:eastAsia="Calibri" w:cs="Times New Roman"/>
          <w:bCs/>
          <w:szCs w:val="24"/>
        </w:rPr>
        <w:t xml:space="preserve"> quilombolas de </w:t>
      </w:r>
      <w:proofErr w:type="spellStart"/>
      <w:r w:rsidRPr="00292B56">
        <w:rPr>
          <w:rFonts w:eastAsia="Calibri" w:cs="Times New Roman"/>
          <w:bCs/>
          <w:szCs w:val="24"/>
        </w:rPr>
        <w:t>Itacuruçá</w:t>
      </w:r>
      <w:proofErr w:type="spellEnd"/>
      <w:r w:rsidR="00AE452F">
        <w:rPr>
          <w:rFonts w:eastAsia="Calibri" w:cs="Times New Roman"/>
          <w:bCs/>
          <w:szCs w:val="24"/>
        </w:rPr>
        <w:t>,</w:t>
      </w:r>
      <w:r w:rsidRPr="00292B56">
        <w:rPr>
          <w:rFonts w:eastAsia="Calibri" w:cs="Times New Roman"/>
          <w:bCs/>
          <w:szCs w:val="24"/>
        </w:rPr>
        <w:t xml:space="preserve"> apresentamos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w:t>
      </w:r>
      <w:bookmarkStart w:id="0" w:name="_GoBack"/>
      <w:bookmarkEnd w:id="0"/>
      <w:r w:rsidRPr="00292B56">
        <w:rPr>
          <w:rFonts w:eastAsia="Calibri" w:cs="Times New Roman"/>
          <w:bCs/>
          <w:szCs w:val="24"/>
        </w:rPr>
        <w:t xml:space="preserve">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lastRenderedPageBreak/>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Ensino fundamental, 18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numa identidade de sujeitos quilombolas</w:t>
      </w:r>
      <w:r w:rsidR="00410D45">
        <w:rPr>
          <w:rFonts w:eastAsia="Calibri" w:cs="Times New Roman"/>
          <w:szCs w:val="24"/>
        </w:rPr>
        <w:t>,</w:t>
      </w:r>
      <w:r w:rsidRPr="00292B56">
        <w:rPr>
          <w:rFonts w:eastAsia="Calibri" w:cs="Times New Roman"/>
          <w:szCs w:val="24"/>
        </w:rPr>
        <w:t xml:space="preserve"> vivencia o cotidiano ribeirinho. Segundo Furtado e Melo (1993) o termo ribeirinho é usado na Amazônia para designar as populações humanas que moram à margem dos rios e que vivem </w:t>
      </w:r>
      <w:r w:rsidR="00410D45">
        <w:rPr>
          <w:rFonts w:eastAsia="Calibri" w:cs="Times New Roman"/>
          <w:szCs w:val="24"/>
        </w:rPr>
        <w:t>da extração e manejo de recurso</w:t>
      </w:r>
      <w:r w:rsidRPr="00292B56">
        <w:rPr>
          <w:rFonts w:eastAsia="Calibri" w:cs="Times New Roman"/>
          <w:szCs w:val="24"/>
        </w:rPr>
        <w:t xml:space="preserve">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00410D45">
        <w:rPr>
          <w:rFonts w:eastAsia="Calibri" w:cs="Times New Roman"/>
          <w:szCs w:val="24"/>
        </w:rPr>
        <w:t xml:space="preserve">, </w:t>
      </w:r>
      <w:r w:rsidRPr="00292B56">
        <w:rPr>
          <w:rFonts w:eastAsia="Calibri" w:cs="Times New Roman"/>
          <w:szCs w:val="24"/>
        </w:rPr>
        <w:t>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w:t>
      </w:r>
      <w:proofErr w:type="gramStart"/>
      <w:r w:rsidR="00410D45">
        <w:rPr>
          <w:rFonts w:eastAsia="Calibri" w:cs="Times New Roman"/>
          <w:szCs w:val="24"/>
        </w:rPr>
        <w:t>,</w:t>
      </w:r>
      <w:r w:rsidRPr="00292B56">
        <w:rPr>
          <w:rFonts w:eastAsia="Calibri" w:cs="Times New Roman"/>
          <w:szCs w:val="24"/>
        </w:rPr>
        <w:t xml:space="preserve"> é</w:t>
      </w:r>
      <w:proofErr w:type="gramEnd"/>
      <w:r w:rsidRPr="00292B56">
        <w:rPr>
          <w:rFonts w:eastAsia="Calibri" w:cs="Times New Roman"/>
          <w:szCs w:val="24"/>
        </w:rPr>
        <w:t xml:space="preserve"> comercializada para 35 olarias em parceria com a ARQUIA, que produzem entre 600 a 800 telhas/dia/olaria, gerando emprego direto para aproximadamente 275 famílias participantes da associação. Dos 400 agricultores </w:t>
      </w:r>
      <w:r w:rsidRPr="00292B56">
        <w:rPr>
          <w:rFonts w:eastAsia="Calibri" w:cs="Times New Roman"/>
          <w:szCs w:val="24"/>
        </w:rPr>
        <w:lastRenderedPageBreak/>
        <w:t>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O trabalho na olaria vem beneficiar a comunidade</w:t>
      </w:r>
      <w:r w:rsidR="00410D45">
        <w:rPr>
          <w:rFonts w:eastAsia="Calibri" w:cs="Times New Roman"/>
          <w:szCs w:val="24"/>
        </w:rPr>
        <w:t>,</w:t>
      </w:r>
      <w:r w:rsidRPr="00292B56">
        <w:rPr>
          <w:rFonts w:eastAsia="Calibri" w:cs="Times New Roman"/>
          <w:szCs w:val="24"/>
        </w:rPr>
        <w:t xml:space="preserv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 xml:space="preserve">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vida e trabalho. Assim, focamos o período anterior aos anos 90, em que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Interessante, que até o final da década de 1990 se dizia que os moradores de </w:t>
      </w:r>
      <w:proofErr w:type="spellStart"/>
      <w:r w:rsidRPr="00292B56">
        <w:rPr>
          <w:rFonts w:eastAsia="Calibri" w:cs="Times New Roman"/>
          <w:szCs w:val="24"/>
        </w:rPr>
        <w:t>Itacuruçá</w:t>
      </w:r>
      <w:proofErr w:type="spellEnd"/>
      <w:r w:rsidRPr="00292B56">
        <w:rPr>
          <w:rFonts w:eastAsia="Calibri" w:cs="Times New Roman"/>
          <w:szCs w:val="24"/>
        </w:rPr>
        <w:t xml:space="preserve"> eram considerados ribeirinhos. Mas com as pesquisas realizadas pela Diocese de Abaetetuba articuladas com a Associação dos Moradores das Ilhas (AMIA) foi constatado que os ribeirinhos de </w:t>
      </w:r>
      <w:proofErr w:type="spellStart"/>
      <w:r w:rsidRPr="00292B56">
        <w:rPr>
          <w:rFonts w:eastAsia="Calibri" w:cs="Times New Roman"/>
          <w:szCs w:val="24"/>
        </w:rPr>
        <w:t>Itacuruçá</w:t>
      </w:r>
      <w:proofErr w:type="spellEnd"/>
      <w:r w:rsidRPr="00292B56">
        <w:rPr>
          <w:rFonts w:eastAsia="Calibri" w:cs="Times New Roman"/>
          <w:szCs w:val="24"/>
        </w:rPr>
        <w:t xml:space="preserve"> eram remanescentes de quilombos. Esses remanescentes são </w:t>
      </w:r>
      <w:r w:rsidRPr="00292B56">
        <w:rPr>
          <w:rFonts w:eastAsia="Calibri" w:cs="Times New Roman"/>
          <w:szCs w:val="24"/>
        </w:rPr>
        <w:lastRenderedPageBreak/>
        <w:t>herdeiros das lutas e tradições de quilombos, ou seja, demarcam tais espaços como fruto de remota</w:t>
      </w:r>
      <w:r w:rsidR="00410D45">
        <w:rPr>
          <w:rFonts w:eastAsia="Calibri" w:cs="Times New Roman"/>
          <w:szCs w:val="24"/>
        </w:rPr>
        <w:t>s ocupações negras e estabelece</w:t>
      </w:r>
      <w:r w:rsidRPr="00292B56">
        <w:rPr>
          <w:rFonts w:eastAsia="Calibri" w:cs="Times New Roman"/>
          <w:szCs w:val="24"/>
        </w:rPr>
        <w:t xml:space="preserve"> o direito </w:t>
      </w:r>
      <w:r w:rsidR="00410D45" w:rsidRPr="00292B56">
        <w:rPr>
          <w:rFonts w:eastAsia="Calibri" w:cs="Times New Roman"/>
          <w:szCs w:val="24"/>
        </w:rPr>
        <w:t>a</w:t>
      </w:r>
      <w:r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77A80" w:rsidP="00DB49B3">
      <w:pPr>
        <w:autoSpaceDE w:val="0"/>
        <w:autoSpaceDN w:val="0"/>
        <w:adjustRightInd w:val="0"/>
        <w:spacing w:after="200"/>
        <w:rPr>
          <w:rFonts w:eastAsia="Calibri" w:cs="Times New Roman"/>
          <w:szCs w:val="24"/>
        </w:rPr>
      </w:pPr>
      <w:r>
        <w:rPr>
          <w:rFonts w:eastAsia="Calibri" w:cs="Times New Roman"/>
          <w:szCs w:val="24"/>
        </w:rPr>
        <w:t xml:space="preserve">O Caderno do </w:t>
      </w:r>
      <w:r w:rsidR="00DB49B3" w:rsidRPr="00292B56">
        <w:rPr>
          <w:rFonts w:eastAsia="Calibri" w:cs="Times New Roman"/>
          <w:szCs w:val="24"/>
        </w:rPr>
        <w:t>Instituto de Terras do Pará</w:t>
      </w:r>
      <w:r>
        <w:rPr>
          <w:rFonts w:eastAsia="Calibri" w:cs="Times New Roman"/>
          <w:szCs w:val="24"/>
        </w:rPr>
        <w:t xml:space="preserve"> </w:t>
      </w:r>
      <w:proofErr w:type="gramStart"/>
      <w:r>
        <w:rPr>
          <w:rFonts w:eastAsia="Calibri" w:cs="Times New Roman"/>
          <w:szCs w:val="24"/>
        </w:rPr>
        <w:t xml:space="preserve">( </w:t>
      </w:r>
      <w:proofErr w:type="gramEnd"/>
      <w:r w:rsidRPr="00D77A80">
        <w:rPr>
          <w:rFonts w:eastAsia="Calibri" w:cs="Times New Roman"/>
          <w:szCs w:val="24"/>
        </w:rPr>
        <w:t>ITERPA</w:t>
      </w:r>
      <w:r>
        <w:rPr>
          <w:rFonts w:eastAsia="Calibri" w:cs="Times New Roman"/>
          <w:szCs w:val="24"/>
        </w:rPr>
        <w:t>,</w:t>
      </w:r>
      <w:r w:rsidRPr="00D77A80">
        <w:rPr>
          <w:rFonts w:eastAsia="Calibri" w:cs="Times New Roman"/>
          <w:szCs w:val="24"/>
        </w:rPr>
        <w:t xml:space="preserve"> </w:t>
      </w:r>
      <w:r w:rsidR="00DB49B3" w:rsidRPr="00292B56">
        <w:rPr>
          <w:rFonts w:eastAsia="Calibri" w:cs="Times New Roman"/>
          <w:szCs w:val="24"/>
        </w:rPr>
        <w:t>2009), ressalta que a luta pelo reconhecimento do domínio de terras das comunidades remanescentes de quilom</w:t>
      </w:r>
      <w:r>
        <w:rPr>
          <w:rFonts w:eastAsia="Calibri" w:cs="Times New Roman"/>
          <w:szCs w:val="24"/>
        </w:rPr>
        <w:t>bos do Pará é um marco para os Movimentos S</w:t>
      </w:r>
      <w:r w:rsidR="00DB49B3" w:rsidRPr="00292B56">
        <w:rPr>
          <w:rFonts w:eastAsia="Calibri" w:cs="Times New Roman"/>
          <w:szCs w:val="24"/>
        </w:rPr>
        <w:t>ociais. Assim como ocorreu em nível federal, também no Pará</w:t>
      </w:r>
      <w:r>
        <w:rPr>
          <w:rFonts w:eastAsia="Calibri" w:cs="Times New Roman"/>
          <w:szCs w:val="24"/>
        </w:rPr>
        <w:t>,</w:t>
      </w:r>
      <w:r w:rsidR="00DB49B3" w:rsidRPr="00292B56">
        <w:rPr>
          <w:rFonts w:eastAsia="Calibri" w:cs="Times New Roman"/>
          <w:szCs w:val="24"/>
        </w:rPr>
        <w:t xml:space="preserve"> a consagração constitucional do direito ao título da terra não foi fruto do trabalho desenvolvido pelos quilombolas, mas do movimento negro urbano, encabeçado pelo Centro de Estudos e Defesas dos Negros no Pará – CEDENPA. Sua primeira vitória foi a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w:t>
      </w:r>
      <w:r w:rsidR="00D77A80">
        <w:rPr>
          <w:rFonts w:eastAsia="Calibri" w:cs="Times New Roman"/>
          <w:szCs w:val="24"/>
        </w:rPr>
        <w:t>o das lutas empreendidas pelos M</w:t>
      </w:r>
      <w:r w:rsidRPr="00292B56">
        <w:rPr>
          <w:rFonts w:eastAsia="Calibri" w:cs="Times New Roman"/>
          <w:szCs w:val="24"/>
        </w:rPr>
        <w:t xml:space="preserve">ovimentos </w:t>
      </w:r>
      <w:r w:rsidR="00D77A80">
        <w:rPr>
          <w:rFonts w:eastAsia="Calibri" w:cs="Times New Roman"/>
          <w:szCs w:val="24"/>
        </w:rPr>
        <w:t>S</w:t>
      </w:r>
      <w:r w:rsidRPr="00292B56">
        <w:rPr>
          <w:rFonts w:eastAsia="Calibri" w:cs="Times New Roman"/>
          <w:szCs w:val="24"/>
        </w:rPr>
        <w:t>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definitiva, devendo o Estado </w:t>
      </w:r>
      <w:proofErr w:type="spellStart"/>
      <w:r w:rsidRPr="00292B56">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 Educação de Jovens e Adultos com matrícula inicial de 60 alunos em 2016 formou 03 turmas. Contou com 03 professoras com formação no Magistério, 01 coordenadora pedagógica e 01 diretora. Se faz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w:t>
      </w:r>
      <w:r w:rsidR="00D77A80">
        <w:rPr>
          <w:rFonts w:eastAsia="Times New Roman" w:cs="Times New Roman"/>
          <w:szCs w:val="24"/>
          <w:lang w:eastAsia="pt-BR"/>
        </w:rPr>
        <w:t>, requer</w:t>
      </w:r>
      <w:r w:rsidR="00D77A80" w:rsidRPr="00292B56">
        <w:rPr>
          <w:rFonts w:eastAsia="Times New Roman" w:cs="Times New Roman"/>
          <w:szCs w:val="24"/>
          <w:lang w:eastAsia="pt-BR"/>
        </w:rPr>
        <w:t>, portanto</w:t>
      </w:r>
      <w:r w:rsidRPr="00292B56">
        <w:rPr>
          <w:rFonts w:eastAsia="Times New Roman" w:cs="Times New Roman"/>
          <w:szCs w:val="24"/>
          <w:lang w:eastAsia="pt-BR"/>
        </w:rPr>
        <w:t>, uma política do setor educacional do município</w:t>
      </w:r>
      <w:r w:rsidR="00D77A80">
        <w:rPr>
          <w:rFonts w:eastAsia="Times New Roman" w:cs="Times New Roman"/>
          <w:szCs w:val="24"/>
          <w:lang w:eastAsia="pt-BR"/>
        </w:rPr>
        <w:t>,</w:t>
      </w:r>
      <w:r w:rsidRPr="00292B56">
        <w:rPr>
          <w:rFonts w:eastAsia="Times New Roman" w:cs="Times New Roman"/>
          <w:szCs w:val="24"/>
          <w:lang w:eastAsia="pt-BR"/>
        </w:rPr>
        <w:t xml:space="preserve">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w:t>
      </w:r>
      <w:r w:rsidRPr="00292B56">
        <w:rPr>
          <w:rFonts w:eastAsia="Times New Roman" w:cs="Times New Roman"/>
          <w:szCs w:val="24"/>
          <w:lang w:eastAsia="pt-BR"/>
        </w:rPr>
        <w:lastRenderedPageBreak/>
        <w:t>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r w:rsidR="00D77A80" w:rsidRPr="00292B56">
        <w:rPr>
          <w:rFonts w:eastAsia="Calibri" w:cs="Times New Roman"/>
          <w:szCs w:val="24"/>
        </w:rPr>
        <w:t xml:space="preserve"> foi</w:t>
      </w:r>
      <w:r w:rsidRPr="00292B56">
        <w:rPr>
          <w:rFonts w:eastAsia="Calibri" w:cs="Times New Roman"/>
          <w:szCs w:val="24"/>
        </w:rPr>
        <w:t xml:space="preserve"> implantada nesta região, mas especificamente no </w:t>
      </w:r>
      <w:r w:rsidR="00D77A80">
        <w:rPr>
          <w:rFonts w:eastAsia="Calibri" w:cs="Times New Roman"/>
          <w:szCs w:val="24"/>
        </w:rPr>
        <w:t xml:space="preserve">município vizinho de Barcarena. </w:t>
      </w:r>
      <w:r w:rsidRPr="00292B56">
        <w:rPr>
          <w:rFonts w:eastAsia="Calibri" w:cs="Times New Roman"/>
          <w:szCs w:val="24"/>
        </w:rPr>
        <w:t>Abaetetuba sofreu um significativo aumento da população local, isto se deve principalmente,</w:t>
      </w:r>
      <w:r>
        <w:rPr>
          <w:rFonts w:eastAsia="Calibri" w:cs="Times New Roman"/>
          <w:szCs w:val="24"/>
        </w:rPr>
        <w:t xml:space="preserve"> </w:t>
      </w:r>
      <w:r w:rsidRPr="00292B56">
        <w:rPr>
          <w:rFonts w:eastAsia="Calibri" w:cs="Times New Roman"/>
          <w:szCs w:val="24"/>
        </w:rPr>
        <w:t>a especulação</w:t>
      </w:r>
      <w:proofErr w:type="gramStart"/>
      <w:r w:rsidRPr="00292B56">
        <w:rPr>
          <w:rFonts w:eastAsia="Calibri" w:cs="Times New Roman"/>
          <w:szCs w:val="24"/>
        </w:rPr>
        <w:t xml:space="preserve">  </w:t>
      </w:r>
      <w:proofErr w:type="gramEnd"/>
      <w:r w:rsidRPr="00292B56">
        <w:rPr>
          <w:rFonts w:eastAsia="Calibri" w:cs="Times New Roman"/>
          <w:szCs w:val="24"/>
        </w:rPr>
        <w:t>dessas empresas estrangeiras favorecendo a oferta de mão de obra barata aos filhos da terra</w:t>
      </w:r>
      <w:r w:rsidR="00D77A80">
        <w:rPr>
          <w:rFonts w:eastAsia="Calibri" w:cs="Times New Roman"/>
          <w:szCs w:val="24"/>
        </w:rPr>
        <w:t xml:space="preserve"> </w:t>
      </w:r>
      <w:r w:rsidRPr="00292B56">
        <w:rPr>
          <w:rFonts w:eastAsia="Calibri" w:cs="Times New Roman"/>
          <w:szCs w:val="24"/>
        </w:rPr>
        <w:t>(os abaetetubenses) e empregos de médio e alta escala  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o maior contingente de jovens e adultos sem escolaridade.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w:t>
      </w:r>
      <w:r w:rsidR="00225AA3">
        <w:rPr>
          <w:rFonts w:eastAsia="Calibri" w:cs="Times New Roman"/>
          <w:szCs w:val="24"/>
        </w:rPr>
        <w:t>e e</w:t>
      </w:r>
      <w:r w:rsidRPr="00292B56">
        <w:rPr>
          <w:rFonts w:eastAsia="Calibri" w:cs="Times New Roman"/>
          <w:szCs w:val="24"/>
        </w:rPr>
        <w:t>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lastRenderedPageBreak/>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 e por isso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particularidade se sintam inclusos no processo. Portanto, é nossa pretensão neste segundo momento.</w:t>
      </w:r>
    </w:p>
    <w:p w:rsidR="008C68FF" w:rsidRDefault="00DB49B3" w:rsidP="008C68FF">
      <w:pPr>
        <w:autoSpaceDE w:val="0"/>
        <w:autoSpaceDN w:val="0"/>
        <w:adjustRightInd w:val="0"/>
        <w:rPr>
          <w:rFonts w:eastAsia="Calibri" w:cs="Times New Roman"/>
          <w:b/>
          <w:szCs w:val="24"/>
        </w:rPr>
      </w:pPr>
      <w:proofErr w:type="gramStart"/>
      <w:r w:rsidRPr="00292B56">
        <w:rPr>
          <w:rFonts w:eastAsia="Calibri" w:cs="Times New Roman"/>
          <w:b/>
          <w:szCs w:val="24"/>
        </w:rPr>
        <w:t>2</w:t>
      </w:r>
      <w:proofErr w:type="gramEnd"/>
      <w:r w:rsidR="007302AC">
        <w:rPr>
          <w:rFonts w:eastAsia="Calibri" w:cs="Times New Roman"/>
          <w:szCs w:val="24"/>
        </w:rPr>
        <w:t xml:space="preserve"> EJA: </w:t>
      </w:r>
      <w:r w:rsidRPr="00292B56">
        <w:rPr>
          <w:rFonts w:eastAsia="Calibri" w:cs="Times New Roman"/>
          <w:b/>
          <w:szCs w:val="24"/>
        </w:rPr>
        <w:t>No diálogo por uma educação ao longo da vida.</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Concerne que ao frisar a Educação de Jovens e Adultos</w:t>
      </w:r>
      <w:r w:rsidR="00225AA3">
        <w:rPr>
          <w:rFonts w:eastAsia="Calibri" w:cs="Times New Roman"/>
          <w:szCs w:val="24"/>
        </w:rPr>
        <w:t xml:space="preserve">, é necessário </w:t>
      </w:r>
      <w:r w:rsidRPr="00292B56">
        <w:rPr>
          <w:rFonts w:eastAsia="Calibri" w:cs="Times New Roman"/>
          <w:szCs w:val="24"/>
        </w:rPr>
        <w:t>reportar</w:t>
      </w:r>
      <w:r w:rsidR="00225AA3">
        <w:rPr>
          <w:rFonts w:eastAsia="Calibri" w:cs="Times New Roman"/>
          <w:szCs w:val="24"/>
        </w:rPr>
        <w:t>-se</w:t>
      </w:r>
      <w:r w:rsidRPr="00292B56">
        <w:rPr>
          <w:rFonts w:eastAsia="Calibri" w:cs="Times New Roman"/>
          <w:szCs w:val="24"/>
        </w:rPr>
        <w:t xml:space="preserve">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DB49B3" w:rsidP="008C68FF">
      <w:pPr>
        <w:rPr>
          <w:rFonts w:ascii="Arial" w:eastAsia="Calibri" w:hAnsi="Arial" w:cs="Arial"/>
          <w:szCs w:val="24"/>
        </w:rPr>
      </w:pPr>
      <w:r w:rsidRPr="00292B56">
        <w:rPr>
          <w:rFonts w:eastAsia="Calibri" w:cs="Times New Roman"/>
          <w:szCs w:val="24"/>
        </w:rPr>
        <w:t>Chegamos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Pr="00292B56">
        <w:rPr>
          <w:rFonts w:ascii="Arial" w:eastAsia="Calibri" w:hAnsi="Arial" w:cs="Arial"/>
          <w:szCs w:val="24"/>
        </w:rPr>
        <w:t xml:space="preserve"> </w:t>
      </w:r>
    </w:p>
    <w:p w:rsidR="00DB49B3" w:rsidRPr="00292B56" w:rsidRDefault="00DB49B3" w:rsidP="008C68FF">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w:t>
      </w:r>
      <w:r w:rsidRPr="00292B56">
        <w:rPr>
          <w:rFonts w:eastAsia="Calibri" w:cs="Times New Roman"/>
          <w:szCs w:val="24"/>
        </w:rPr>
        <w:lastRenderedPageBreak/>
        <w:t xml:space="preserve">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 xml:space="preserve">Muitas das orientações dessa conferência dinamizaram reformas educativas que haviam se iniciado na década anterior em países em desenvolvimento, evidenciando que a educação ganhava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8C68FF">
      <w:pPr>
        <w:rPr>
          <w:rFonts w:eastAsia="Calibri" w:cs="Times New Roman"/>
          <w:szCs w:val="24"/>
        </w:rPr>
      </w:pPr>
      <w:r w:rsidRPr="00292B56">
        <w:rPr>
          <w:rFonts w:eastAsia="Calibri" w:cs="Times New Roman"/>
          <w:szCs w:val="24"/>
        </w:rPr>
        <w:t>Nesta nova vertente, há uma articulação nacional e internacional entre o Governo Federal e seus Órgãos de Administração Direta com os diversos setores ligados a EJA de 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Anterior a este evento</w:t>
      </w:r>
      <w:r w:rsidR="00D96D6C">
        <w:rPr>
          <w:rFonts w:eastAsia="Calibri" w:cs="Times New Roman"/>
          <w:szCs w:val="24"/>
        </w:rPr>
        <w:t>,</w:t>
      </w:r>
      <w:r w:rsidRPr="00292B56">
        <w:rPr>
          <w:rFonts w:eastAsia="Calibri" w:cs="Times New Roman"/>
          <w:szCs w:val="24"/>
        </w:rPr>
        <w:t xml:space="preserve">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xml:space="preserve">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w:t>
      </w:r>
      <w:r w:rsidRPr="00292B56">
        <w:rPr>
          <w:rFonts w:eastAsia="Calibri" w:cs="Times New Roman"/>
          <w:sz w:val="22"/>
        </w:rPr>
        <w:lastRenderedPageBreak/>
        <w:t>necessidades básicas de aprendizagem desses sujeitos. (</w:t>
      </w:r>
      <w:proofErr w:type="gramStart"/>
      <w:r w:rsidR="007473E9">
        <w:rPr>
          <w:rFonts w:eastAsia="Calibri" w:cs="Times New Roman"/>
          <w:sz w:val="22"/>
        </w:rPr>
        <w:t>brasil</w:t>
      </w:r>
      <w:proofErr w:type="gramEnd"/>
      <w:r w:rsidR="007473E9">
        <w:rPr>
          <w:rFonts w:eastAsia="Calibri" w:cs="Times New Roman"/>
          <w:sz w:val="22"/>
        </w:rPr>
        <w:t xml:space="preserve">, </w:t>
      </w:r>
      <w:r w:rsidRPr="00292B56">
        <w:rPr>
          <w:rFonts w:eastAsia="Calibri" w:cs="Times New Roman"/>
          <w:sz w:val="22"/>
        </w:rPr>
        <w:t>Fóruns de EJA-2008)</w:t>
      </w:r>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w:t>
      </w:r>
      <w:r w:rsidR="00D96D6C">
        <w:rPr>
          <w:rFonts w:eastAsia="Calibri" w:cs="Times New Roman"/>
          <w:szCs w:val="24"/>
        </w:rPr>
        <w:t>fundamental importância para a Educação de Jovens e A</w:t>
      </w:r>
      <w:r w:rsidRPr="00292B56">
        <w:rPr>
          <w:rFonts w:eastAsia="Calibri" w:cs="Times New Roman"/>
          <w:szCs w:val="24"/>
        </w:rPr>
        <w:t xml:space="preserve">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w:t>
      </w:r>
      <w:r w:rsidR="00D96D6C">
        <w:rPr>
          <w:rFonts w:eastAsia="Calibri" w:cs="Times New Roman"/>
          <w:szCs w:val="24"/>
        </w:rPr>
        <w:t>adas</w:t>
      </w:r>
      <w:proofErr w:type="gramEnd"/>
      <w:r w:rsidR="00D96D6C">
        <w:rPr>
          <w:rFonts w:eastAsia="Calibri" w:cs="Times New Roman"/>
          <w:szCs w:val="24"/>
        </w:rPr>
        <w:t xml:space="preserve"> nas políticas públicas da Educação de Jovens e A</w:t>
      </w:r>
      <w:r w:rsidRPr="00292B56">
        <w:rPr>
          <w:rFonts w:eastAsia="Calibri" w:cs="Times New Roman"/>
          <w:szCs w:val="24"/>
        </w:rPr>
        <w:t>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uma filosofia, um marco conceitual e um princípio organizador de todas as formas de educação, baseada em valores inclusivos, emancipatórios, humanistas e democráticos, sendo abrangente e parte integrante da visão de uma sociedade do conhecimento. (</w:t>
      </w:r>
      <w:r w:rsidR="00AE452F">
        <w:rPr>
          <w:rFonts w:eastAsia="Calibri" w:cs="Times New Roman"/>
          <w:sz w:val="22"/>
        </w:rPr>
        <w:t>BRASIL, CONFINTEA-2009</w:t>
      </w:r>
      <w:r w:rsidRPr="00292B56">
        <w:rPr>
          <w:rFonts w:eastAsia="Calibri" w:cs="Times New Roman"/>
          <w:sz w:val="22"/>
        </w:rPr>
        <w:t xml:space="preserve">) </w:t>
      </w:r>
    </w:p>
    <w:p w:rsidR="00DB49B3" w:rsidRPr="00292B56" w:rsidRDefault="00DB49B3" w:rsidP="00DB49B3">
      <w:pPr>
        <w:rPr>
          <w:rFonts w:eastAsia="Calibri" w:cs="Times New Roman"/>
          <w:sz w:val="22"/>
        </w:rPr>
      </w:pPr>
      <w:r w:rsidRPr="00292B56">
        <w:rPr>
          <w:rFonts w:eastAsia="Calibri" w:cs="Times New Roman"/>
          <w:sz w:val="22"/>
        </w:rPr>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w:t>
      </w:r>
      <w:r w:rsidR="00D96D6C">
        <w:rPr>
          <w:rFonts w:eastAsia="Calibri" w:cs="Times New Roman"/>
          <w:sz w:val="22"/>
        </w:rPr>
        <w:t xml:space="preserve">dentes, produzindo identidades </w:t>
      </w:r>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(RELATÒRIO DO XI ENCONTRO NACIONAL DA EJA-BELÉM-2009).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96D6C" w:rsidP="00DB49B3">
      <w:pPr>
        <w:rPr>
          <w:rFonts w:eastAsia="Calibri" w:cs="Times New Roman"/>
          <w:szCs w:val="24"/>
        </w:rPr>
      </w:pPr>
      <w:r>
        <w:rPr>
          <w:rFonts w:eastAsia="Calibri" w:cs="Times New Roman"/>
          <w:szCs w:val="24"/>
        </w:rPr>
        <w:t>A construção de ide</w:t>
      </w:r>
      <w:r w:rsidR="00DB49B3" w:rsidRPr="00292B56">
        <w:rPr>
          <w:rFonts w:eastAsia="Calibri" w:cs="Times New Roman"/>
          <w:szCs w:val="24"/>
        </w:rPr>
        <w:t>ias, pensamentos que permeiam a Educação de Jovens e Adultos não pode ser discernida da história da educação como um todo, e esta por sua vez</w:t>
      </w:r>
      <w:r>
        <w:rPr>
          <w:rFonts w:eastAsia="Calibri" w:cs="Times New Roman"/>
          <w:szCs w:val="24"/>
        </w:rPr>
        <w:t>,</w:t>
      </w:r>
      <w:r w:rsidR="00DB49B3" w:rsidRPr="00292B56">
        <w:rPr>
          <w:rFonts w:eastAsia="Calibri" w:cs="Times New Roman"/>
          <w:szCs w:val="24"/>
        </w:rPr>
        <w:t xml:space="preserve"> está </w:t>
      </w:r>
      <w:r w:rsidR="00DB49B3" w:rsidRPr="00292B56">
        <w:rPr>
          <w:rFonts w:eastAsia="Calibri" w:cs="Times New Roman"/>
          <w:szCs w:val="24"/>
        </w:rPr>
        <w:lastRenderedPageBreak/>
        <w:t xml:space="preserve">envolta na história dos modelos econômicos e políticos e, </w:t>
      </w:r>
      <w:r w:rsidRPr="00292B56">
        <w:rPr>
          <w:rFonts w:eastAsia="Calibri" w:cs="Times New Roman"/>
          <w:szCs w:val="24"/>
        </w:rPr>
        <w:t>consequentemente</w:t>
      </w:r>
      <w:r w:rsidR="00DB49B3"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r w:rsidR="00595204" w:rsidRPr="00292B56">
        <w:rPr>
          <w:rFonts w:eastAsia="Calibri" w:cs="Times New Roman"/>
          <w:szCs w:val="24"/>
        </w:rPr>
        <w:t>consequência</w:t>
      </w:r>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7473E9" w:rsidRDefault="00DB49B3" w:rsidP="008C68FF">
      <w:pPr>
        <w:jc w:val="left"/>
        <w:rPr>
          <w:rFonts w:eastAsia="Calibri" w:cs="Times New Roman"/>
          <w:b/>
          <w:szCs w:val="24"/>
        </w:rPr>
      </w:pPr>
      <w:r w:rsidRPr="00292B56">
        <w:rPr>
          <w:rFonts w:eastAsia="Calibri" w:cs="Times New Roman"/>
          <w:b/>
          <w:szCs w:val="24"/>
        </w:rPr>
        <w:t>CONCLUSÃO</w:t>
      </w:r>
    </w:p>
    <w:p w:rsidR="00DB49B3" w:rsidRDefault="00DB49B3" w:rsidP="008C68FF">
      <w:pPr>
        <w:jc w:val="left"/>
        <w:rPr>
          <w:rFonts w:eastAsia="Calibri" w:cs="Times New Roman"/>
          <w:szCs w:val="24"/>
        </w:rPr>
      </w:pPr>
      <w:r w:rsidRPr="00292B56">
        <w:rPr>
          <w:rFonts w:eastAsia="Calibri" w:cs="Times New Roman"/>
          <w:szCs w:val="24"/>
        </w:rPr>
        <w:t xml:space="preserve">Ao partirmos do contexto ribeirinho quilombola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Pr="00292B56">
        <w:rPr>
          <w:rFonts w:eastAsia="Calibri" w:cs="Times New Roman"/>
          <w:szCs w:val="24"/>
        </w:rPr>
        <w:t>ealidade.</w:t>
      </w:r>
    </w:p>
    <w:p w:rsidR="00DB49B3" w:rsidRPr="00292B56" w:rsidRDefault="00DB49B3" w:rsidP="008C68FF">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8C68FF" w:rsidRDefault="00DB49B3" w:rsidP="008C68FF">
      <w:pPr>
        <w:autoSpaceDE w:val="0"/>
        <w:autoSpaceDN w:val="0"/>
        <w:adjustRightInd w:val="0"/>
        <w:rPr>
          <w:rFonts w:eastAsia="Calibri" w:cs="Times New Roman"/>
          <w:color w:val="000000"/>
          <w:szCs w:val="24"/>
        </w:rPr>
      </w:pPr>
      <w:r w:rsidRPr="00292B56">
        <w:rPr>
          <w:rFonts w:eastAsia="Calibri" w:cs="Times New Roman"/>
          <w:color w:val="000000"/>
          <w:szCs w:val="24"/>
        </w:rPr>
        <w:t>Esta reflexão</w:t>
      </w:r>
      <w:r w:rsidR="00595204">
        <w:rPr>
          <w:rFonts w:eastAsia="Calibri" w:cs="Times New Roman"/>
          <w:color w:val="000000"/>
          <w:szCs w:val="24"/>
        </w:rPr>
        <w:t>,</w:t>
      </w:r>
      <w:r w:rsidRPr="00292B56">
        <w:rPr>
          <w:rFonts w:eastAsia="Calibri" w:cs="Times New Roman"/>
          <w:color w:val="000000"/>
          <w:szCs w:val="24"/>
        </w:rPr>
        <w:t xml:space="preserve"> ao focar os sujeitos da EJA: o adulto t</w:t>
      </w:r>
      <w:r w:rsidR="008D79AA">
        <w:rPr>
          <w:rFonts w:eastAsia="Calibri" w:cs="Times New Roman"/>
          <w:color w:val="000000"/>
          <w:szCs w:val="24"/>
        </w:rPr>
        <w:t>rabalhador/a e o jovem trabalhadora</w:t>
      </w:r>
      <w:proofErr w:type="gramStart"/>
      <w:r w:rsidR="006E543C">
        <w:rPr>
          <w:rFonts w:eastAsia="Calibri" w:cs="Times New Roman"/>
          <w:color w:val="000000"/>
          <w:szCs w:val="24"/>
        </w:rPr>
        <w:t>,</w:t>
      </w:r>
      <w:r w:rsidR="0087793C">
        <w:rPr>
          <w:rFonts w:eastAsia="Calibri" w:cs="Times New Roman"/>
          <w:color w:val="000000"/>
          <w:szCs w:val="24"/>
        </w:rPr>
        <w:t xml:space="preserve"> veio</w:t>
      </w:r>
      <w:proofErr w:type="gramEnd"/>
      <w:r w:rsidR="0087793C">
        <w:rPr>
          <w:rFonts w:eastAsia="Calibri" w:cs="Times New Roman"/>
          <w:color w:val="000000"/>
          <w:szCs w:val="24"/>
        </w:rPr>
        <w:t xml:space="preserve"> ra</w:t>
      </w:r>
      <w:r w:rsidRPr="00292B56">
        <w:rPr>
          <w:rFonts w:eastAsia="Calibri" w:cs="Times New Roman"/>
          <w:color w:val="000000"/>
          <w:szCs w:val="24"/>
        </w:rPr>
        <w:t>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r w:rsidR="008C68FF">
        <w:rPr>
          <w:rFonts w:eastAsia="Calibri" w:cs="Times New Roman"/>
          <w:color w:val="000000"/>
          <w:szCs w:val="24"/>
        </w:rPr>
        <w:t xml:space="preserve">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 xml:space="preserve">A Educação de Jovens e Adultos atualmente vem sendo reconhecida como um processo de aprendizagem que perpassa a escolarização. Trata-se assim, de um processo </w:t>
      </w:r>
      <w:r w:rsidRPr="00292B56">
        <w:rPr>
          <w:rFonts w:eastAsia="Calibri" w:cs="Times New Roman"/>
          <w:szCs w:val="24"/>
        </w:rPr>
        <w:lastRenderedPageBreak/>
        <w:t>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poderá ser construída, como nos diz Paulo Freire</w:t>
      </w:r>
      <w:r w:rsidRPr="00292B56">
        <w:rPr>
          <w:rFonts w:eastAsia="Calibri" w:cs="Times New Roman"/>
          <w:sz w:val="20"/>
          <w:szCs w:val="20"/>
          <w:lang w:eastAsia="ar-SA"/>
        </w:rPr>
        <w:t xml:space="preserve"> </w:t>
      </w:r>
      <w:r w:rsidRPr="00292B56">
        <w:rPr>
          <w:rFonts w:eastAsia="Calibri" w:cs="Times New Roman"/>
          <w:szCs w:val="24"/>
          <w:lang w:eastAsia="ar-SA"/>
        </w:rPr>
        <w:t>(1993) é necessário uma reflexão e ação dos homens e mulheres sobre o mundo para transformá-lo</w:t>
      </w:r>
      <w:r w:rsidR="0087793C">
        <w:rPr>
          <w:rFonts w:eastAsia="Calibri" w:cs="Times New Roman"/>
          <w:szCs w:val="24"/>
          <w:lang w:eastAsia="ar-SA"/>
        </w:rPr>
        <w:t>,</w:t>
      </w:r>
      <w:r w:rsidRPr="00292B56">
        <w:rPr>
          <w:rFonts w:eastAsia="Calibri" w:cs="Times New Roman"/>
          <w:szCs w:val="24"/>
          <w:lang w:eastAsia="ar-SA"/>
        </w:rPr>
        <w:t xml:space="preserve">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DB49B3" w:rsidRPr="00292B56" w:rsidRDefault="00DB49B3" w:rsidP="00DB49B3">
      <w:pPr>
        <w:tabs>
          <w:tab w:val="left" w:pos="1870"/>
          <w:tab w:val="left" w:pos="2090"/>
        </w:tabs>
        <w:suppressAutoHyphens/>
        <w:rPr>
          <w:rFonts w:eastAsia="Calibri" w:cs="Times New Roman"/>
          <w:b/>
          <w:szCs w:val="24"/>
          <w:lang w:eastAsia="ar-SA"/>
        </w:rPr>
      </w:pPr>
      <w:r w:rsidRPr="00292B56">
        <w:rPr>
          <w:rFonts w:eastAsia="Calibri" w:cs="Times New Roman"/>
          <w:b/>
          <w:szCs w:val="24"/>
          <w:lang w:eastAsia="ar-SA"/>
        </w:rPr>
        <w:t>REFERENCIA</w:t>
      </w:r>
    </w:p>
    <w:p w:rsidR="00DB49B3" w:rsidRPr="008C68FF"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 w:val="20"/>
          <w:szCs w:val="20"/>
        </w:rPr>
      </w:pPr>
      <w:r w:rsidRPr="007473E9">
        <w:rPr>
          <w:rFonts w:eastAsia="Calibri" w:cs="Times New Roman"/>
          <w:b/>
          <w:sz w:val="22"/>
        </w:rPr>
        <w:t xml:space="preserve">            </w:t>
      </w:r>
      <w:r w:rsidRPr="008C68FF">
        <w:rPr>
          <w:rFonts w:eastAsia="Calibri" w:cs="Times New Roman"/>
          <w:sz w:val="20"/>
          <w:szCs w:val="20"/>
        </w:rPr>
        <w:t>ARRUTI</w:t>
      </w:r>
      <w:r w:rsidRPr="008C68FF">
        <w:rPr>
          <w:rFonts w:eastAsia="Calibri" w:cs="Times New Roman"/>
          <w:b/>
          <w:sz w:val="20"/>
          <w:szCs w:val="20"/>
        </w:rPr>
        <w:t>,</w:t>
      </w:r>
      <w:r w:rsidRPr="008C68FF">
        <w:rPr>
          <w:rFonts w:eastAsia="Calibri" w:cs="Times New Roman"/>
          <w:sz w:val="20"/>
          <w:szCs w:val="20"/>
        </w:rPr>
        <w:t xml:space="preserve"> José</w:t>
      </w:r>
      <w:proofErr w:type="gramStart"/>
      <w:r w:rsidRPr="008C68FF">
        <w:rPr>
          <w:rFonts w:eastAsia="Calibri" w:cs="Times New Roman"/>
          <w:sz w:val="20"/>
          <w:szCs w:val="20"/>
        </w:rPr>
        <w:t xml:space="preserve">  </w:t>
      </w:r>
      <w:proofErr w:type="gramEnd"/>
      <w:r w:rsidRPr="008C68FF">
        <w:rPr>
          <w:rFonts w:eastAsia="Calibri" w:cs="Times New Roman"/>
          <w:sz w:val="20"/>
          <w:szCs w:val="20"/>
        </w:rPr>
        <w:t xml:space="preserve">Maurício. </w:t>
      </w:r>
      <w:r w:rsidRPr="008C68FF">
        <w:rPr>
          <w:rFonts w:eastAsia="Calibri" w:cs="Times New Roman"/>
          <w:b/>
          <w:iCs/>
          <w:sz w:val="20"/>
          <w:szCs w:val="20"/>
        </w:rPr>
        <w:t>Mocambo: antropologia e história do processo de</w:t>
      </w:r>
    </w:p>
    <w:p w:rsidR="00DB49B3" w:rsidRDefault="00DB49B3" w:rsidP="00DB49B3">
      <w:pPr>
        <w:suppressAutoHyphens/>
        <w:spacing w:line="240" w:lineRule="auto"/>
        <w:ind w:firstLine="0"/>
        <w:rPr>
          <w:rFonts w:eastAsia="Calibri" w:cs="Times New Roman"/>
          <w:sz w:val="20"/>
          <w:szCs w:val="20"/>
          <w:lang w:eastAsia="ar-SA"/>
        </w:rPr>
      </w:pPr>
      <w:r w:rsidRPr="008C68FF">
        <w:rPr>
          <w:rFonts w:eastAsia="Calibri" w:cs="Times New Roman"/>
          <w:b/>
          <w:iCs/>
          <w:sz w:val="20"/>
          <w:szCs w:val="20"/>
          <w:lang w:eastAsia="ar-SA"/>
        </w:rPr>
        <w:t>Formação quilombola</w:t>
      </w:r>
      <w:r w:rsidRPr="008C68FF">
        <w:rPr>
          <w:rFonts w:eastAsia="Calibri" w:cs="Times New Roman"/>
          <w:i/>
          <w:iCs/>
          <w:sz w:val="20"/>
          <w:szCs w:val="20"/>
          <w:lang w:eastAsia="ar-SA"/>
        </w:rPr>
        <w:t xml:space="preserve">. </w:t>
      </w:r>
      <w:r w:rsidRPr="008C68FF">
        <w:rPr>
          <w:rFonts w:eastAsia="Calibri" w:cs="Times New Roman"/>
          <w:sz w:val="20"/>
          <w:szCs w:val="20"/>
          <w:lang w:eastAsia="ar-SA"/>
        </w:rPr>
        <w:t xml:space="preserve">Bauru, SP: </w:t>
      </w:r>
      <w:proofErr w:type="spellStart"/>
      <w:r w:rsidRPr="008C68FF">
        <w:rPr>
          <w:rFonts w:eastAsia="Calibri" w:cs="Times New Roman"/>
          <w:sz w:val="20"/>
          <w:szCs w:val="20"/>
          <w:lang w:eastAsia="ar-SA"/>
        </w:rPr>
        <w:t>Edusc</w:t>
      </w:r>
      <w:proofErr w:type="spellEnd"/>
      <w:r w:rsidRPr="008C68FF">
        <w:rPr>
          <w:rFonts w:eastAsia="Calibri" w:cs="Times New Roman"/>
          <w:sz w:val="20"/>
          <w:szCs w:val="20"/>
          <w:lang w:eastAsia="ar-SA"/>
        </w:rPr>
        <w:t>, 2006.</w:t>
      </w:r>
    </w:p>
    <w:p w:rsidR="008C68FF" w:rsidRPr="008C68FF" w:rsidRDefault="008C68FF" w:rsidP="00DB49B3">
      <w:pPr>
        <w:suppressAutoHyphens/>
        <w:spacing w:line="240" w:lineRule="auto"/>
        <w:ind w:firstLine="0"/>
        <w:rPr>
          <w:rFonts w:eastAsia="Calibri" w:cs="Times New Roman"/>
          <w:sz w:val="20"/>
          <w:szCs w:val="20"/>
          <w:lang w:eastAsia="ar-SA"/>
        </w:rPr>
      </w:pPr>
    </w:p>
    <w:p w:rsidR="00AE452F" w:rsidRDefault="00AE452F" w:rsidP="00DB49B3">
      <w:pPr>
        <w:suppressAutoHyphens/>
        <w:spacing w:line="240" w:lineRule="auto"/>
        <w:ind w:firstLine="0"/>
        <w:rPr>
          <w:sz w:val="20"/>
          <w:szCs w:val="20"/>
        </w:rPr>
      </w:pPr>
      <w:r w:rsidRPr="008C68FF">
        <w:rPr>
          <w:sz w:val="20"/>
          <w:szCs w:val="20"/>
        </w:rPr>
        <w:t xml:space="preserve">            </w:t>
      </w:r>
      <w:r w:rsidR="007473E9" w:rsidRPr="008C68FF">
        <w:rPr>
          <w:sz w:val="20"/>
          <w:szCs w:val="20"/>
        </w:rPr>
        <w:t xml:space="preserve">BRASIL. Ministério da </w:t>
      </w:r>
      <w:proofErr w:type="spellStart"/>
      <w:proofErr w:type="gramStart"/>
      <w:r w:rsidR="007473E9" w:rsidRPr="008C68FF">
        <w:rPr>
          <w:sz w:val="20"/>
          <w:szCs w:val="20"/>
        </w:rPr>
        <w:t>Educação.</w:t>
      </w:r>
      <w:proofErr w:type="gramEnd"/>
      <w:r w:rsidRPr="008C68FF">
        <w:rPr>
          <w:b/>
          <w:sz w:val="20"/>
          <w:szCs w:val="20"/>
        </w:rPr>
        <w:t>Conferência</w:t>
      </w:r>
      <w:proofErr w:type="spellEnd"/>
      <w:r w:rsidRPr="008C68FF">
        <w:rPr>
          <w:b/>
          <w:sz w:val="20"/>
          <w:szCs w:val="20"/>
        </w:rPr>
        <w:t xml:space="preserve"> Regional Preparatória e V Conferência Internacional de Educação de Jovens e Adultos</w:t>
      </w:r>
      <w:r w:rsidRPr="008C68FF">
        <w:rPr>
          <w:sz w:val="20"/>
          <w:szCs w:val="20"/>
        </w:rPr>
        <w:t xml:space="preserve"> – CONFINTEA. Brasília, DF: 1998.</w:t>
      </w:r>
    </w:p>
    <w:p w:rsidR="008C68FF" w:rsidRPr="008C68FF" w:rsidRDefault="008C68FF" w:rsidP="00DB49B3">
      <w:pPr>
        <w:suppressAutoHyphens/>
        <w:spacing w:line="240" w:lineRule="auto"/>
        <w:ind w:firstLine="0"/>
        <w:rPr>
          <w:sz w:val="20"/>
          <w:szCs w:val="20"/>
        </w:rPr>
      </w:pPr>
    </w:p>
    <w:p w:rsidR="007473E9" w:rsidRDefault="007473E9" w:rsidP="00DB49B3">
      <w:pPr>
        <w:suppressAutoHyphens/>
        <w:spacing w:line="240" w:lineRule="auto"/>
        <w:ind w:firstLine="0"/>
        <w:rPr>
          <w:rFonts w:eastAsia="Calibri" w:cs="Times New Roman"/>
          <w:sz w:val="20"/>
          <w:szCs w:val="20"/>
        </w:rPr>
      </w:pPr>
      <w:r w:rsidRPr="008C68FF">
        <w:rPr>
          <w:sz w:val="20"/>
          <w:szCs w:val="20"/>
        </w:rPr>
        <w:t xml:space="preserve">              </w:t>
      </w:r>
      <w:proofErr w:type="gramStart"/>
      <w:r w:rsidRPr="008C68FF">
        <w:rPr>
          <w:sz w:val="20"/>
          <w:szCs w:val="20"/>
        </w:rPr>
        <w:t>.........................................................</w:t>
      </w:r>
      <w:proofErr w:type="gramEnd"/>
      <w:r w:rsidRPr="008C68FF">
        <w:rPr>
          <w:rFonts w:eastAsia="Calibri" w:cs="Times New Roman"/>
          <w:b/>
          <w:sz w:val="20"/>
          <w:szCs w:val="20"/>
        </w:rPr>
        <w:t>CONFINTEA VI</w:t>
      </w:r>
      <w:r w:rsidRPr="008C68FF">
        <w:rPr>
          <w:rFonts w:eastAsia="Calibri" w:cs="Times New Roman"/>
          <w:sz w:val="20"/>
          <w:szCs w:val="20"/>
        </w:rPr>
        <w:t>, ocorrida em Belém, em dezembro de 2009</w:t>
      </w:r>
    </w:p>
    <w:p w:rsidR="008C68FF" w:rsidRPr="008C68FF" w:rsidRDefault="008C68FF" w:rsidP="00DB49B3">
      <w:pPr>
        <w:suppressAutoHyphens/>
        <w:spacing w:line="240" w:lineRule="auto"/>
        <w:ind w:firstLine="0"/>
        <w:rPr>
          <w:sz w:val="20"/>
          <w:szCs w:val="20"/>
        </w:rPr>
      </w:pPr>
    </w:p>
    <w:p w:rsidR="00AE452F" w:rsidRPr="008C68FF" w:rsidRDefault="00AE452F" w:rsidP="00DB49B3">
      <w:pPr>
        <w:suppressAutoHyphens/>
        <w:spacing w:line="240" w:lineRule="auto"/>
        <w:ind w:firstLine="0"/>
        <w:rPr>
          <w:rFonts w:eastAsia="Calibri" w:cs="Times New Roman"/>
          <w:sz w:val="20"/>
          <w:szCs w:val="20"/>
        </w:rPr>
      </w:pPr>
      <w:r w:rsidRPr="008C68FF">
        <w:rPr>
          <w:rFonts w:eastAsia="Calibri" w:cs="Times New Roman"/>
          <w:sz w:val="20"/>
          <w:szCs w:val="20"/>
        </w:rPr>
        <w:t xml:space="preserve">            </w:t>
      </w:r>
      <w:proofErr w:type="gramStart"/>
      <w:r w:rsidRPr="008C68FF">
        <w:rPr>
          <w:rFonts w:eastAsia="Calibri" w:cs="Times New Roman"/>
          <w:sz w:val="20"/>
          <w:szCs w:val="20"/>
        </w:rPr>
        <w:t>..................................................................</w:t>
      </w:r>
      <w:proofErr w:type="gramEnd"/>
      <w:r w:rsidRPr="008C68FF">
        <w:rPr>
          <w:rFonts w:eastAsia="Calibri" w:cs="Times New Roman"/>
          <w:b/>
          <w:sz w:val="20"/>
          <w:szCs w:val="20"/>
        </w:rPr>
        <w:t>RELATÒRIO DO XI ENCONTRO NACIONAL DA EJA</w:t>
      </w:r>
      <w:r w:rsidRPr="008C68FF">
        <w:rPr>
          <w:rFonts w:eastAsia="Calibri" w:cs="Times New Roman"/>
          <w:sz w:val="20"/>
          <w:szCs w:val="20"/>
        </w:rPr>
        <w:t>-BELÉM-2009)</w:t>
      </w:r>
    </w:p>
    <w:p w:rsidR="007473E9" w:rsidRPr="008C68FF" w:rsidRDefault="007473E9" w:rsidP="00DB49B3">
      <w:pPr>
        <w:suppressAutoHyphens/>
        <w:spacing w:line="240" w:lineRule="auto"/>
        <w:ind w:firstLine="0"/>
        <w:rPr>
          <w:rFonts w:eastAsia="Calibri" w:cs="Times New Roman"/>
          <w:sz w:val="20"/>
          <w:szCs w:val="20"/>
          <w:lang w:eastAsia="ar-SA"/>
        </w:rPr>
      </w:pPr>
      <w:r w:rsidRPr="008C68FF">
        <w:rPr>
          <w:rFonts w:eastAsia="Calibri" w:cs="Times New Roman"/>
          <w:sz w:val="20"/>
          <w:szCs w:val="20"/>
        </w:rPr>
        <w:t xml:space="preserve">           </w:t>
      </w:r>
      <w:proofErr w:type="gramStart"/>
      <w:r w:rsidRPr="008C68FF">
        <w:rPr>
          <w:rFonts w:eastAsia="Calibri" w:cs="Times New Roman"/>
          <w:sz w:val="20"/>
          <w:szCs w:val="20"/>
        </w:rPr>
        <w:t>..............................................................</w:t>
      </w:r>
      <w:proofErr w:type="gramEnd"/>
      <w:r w:rsidRPr="008C68FF">
        <w:rPr>
          <w:rFonts w:eastAsia="Calibri" w:cs="Times New Roman"/>
          <w:b/>
          <w:sz w:val="20"/>
          <w:szCs w:val="20"/>
        </w:rPr>
        <w:t>RELATÓRIO HISTÓRICO DOS FÓRUNS DE EJA</w:t>
      </w:r>
      <w:r w:rsidRPr="008C68FF">
        <w:rPr>
          <w:rFonts w:eastAsia="Calibri" w:cs="Times New Roman"/>
          <w:sz w:val="20"/>
          <w:szCs w:val="20"/>
        </w:rPr>
        <w:t>-2008)</w:t>
      </w:r>
    </w:p>
    <w:p w:rsidR="00DB49B3" w:rsidRDefault="00DB49B3" w:rsidP="00DB49B3">
      <w:pPr>
        <w:tabs>
          <w:tab w:val="left" w:pos="1870"/>
          <w:tab w:val="left" w:pos="2090"/>
        </w:tabs>
        <w:suppressAutoHyphens/>
        <w:spacing w:line="240" w:lineRule="auto"/>
        <w:ind w:firstLine="0"/>
        <w:rPr>
          <w:rFonts w:eastAsia="Calibri" w:cs="Times New Roman"/>
          <w:b/>
          <w:color w:val="0000FF"/>
          <w:sz w:val="20"/>
          <w:szCs w:val="20"/>
          <w:lang w:eastAsia="ar-SA"/>
        </w:rPr>
      </w:pPr>
      <w:r w:rsidRPr="008C68FF">
        <w:rPr>
          <w:rFonts w:eastAsia="Calibri" w:cs="Times New Roman"/>
          <w:b/>
          <w:sz w:val="20"/>
          <w:szCs w:val="20"/>
          <w:lang w:eastAsia="ar-SA"/>
        </w:rPr>
        <w:t xml:space="preserve">            </w:t>
      </w:r>
      <w:r w:rsidRPr="008C68FF">
        <w:rPr>
          <w:rFonts w:eastAsia="Calibri" w:cs="Times New Roman"/>
          <w:sz w:val="20"/>
          <w:szCs w:val="20"/>
          <w:lang w:eastAsia="ar-SA"/>
        </w:rPr>
        <w:t>CADERNO ITERP</w:t>
      </w:r>
      <w:r w:rsidR="00AE452F" w:rsidRPr="008C68FF">
        <w:rPr>
          <w:rFonts w:eastAsia="Calibri" w:cs="Times New Roman"/>
          <w:sz w:val="20"/>
          <w:szCs w:val="20"/>
          <w:lang w:eastAsia="ar-SA"/>
        </w:rPr>
        <w:t xml:space="preserve"> </w:t>
      </w:r>
      <w:proofErr w:type="spellStart"/>
      <w:proofErr w:type="gramStart"/>
      <w:r w:rsidRPr="008C68FF">
        <w:rPr>
          <w:rFonts w:eastAsia="Calibri" w:cs="Times New Roman"/>
          <w:sz w:val="20"/>
          <w:szCs w:val="20"/>
          <w:lang w:eastAsia="ar-SA"/>
        </w:rPr>
        <w:t>A.</w:t>
      </w:r>
      <w:proofErr w:type="gramEnd"/>
      <w:r w:rsidRPr="008C68FF">
        <w:rPr>
          <w:rFonts w:eastAsia="Calibri" w:cs="Times New Roman"/>
          <w:b/>
          <w:sz w:val="20"/>
          <w:szCs w:val="20"/>
          <w:lang w:eastAsia="ar-SA"/>
        </w:rPr>
        <w:t>Dados</w:t>
      </w:r>
      <w:proofErr w:type="spellEnd"/>
      <w:r w:rsidRPr="008C68FF">
        <w:rPr>
          <w:rFonts w:eastAsia="Calibri" w:cs="Times New Roman"/>
          <w:b/>
          <w:sz w:val="20"/>
          <w:szCs w:val="20"/>
          <w:lang w:eastAsia="ar-SA"/>
        </w:rPr>
        <w:t xml:space="preserve"> e </w:t>
      </w:r>
      <w:proofErr w:type="spellStart"/>
      <w:r w:rsidRPr="008C68FF">
        <w:rPr>
          <w:rFonts w:eastAsia="Calibri" w:cs="Times New Roman"/>
          <w:b/>
          <w:sz w:val="20"/>
          <w:szCs w:val="20"/>
          <w:lang w:eastAsia="ar-SA"/>
        </w:rPr>
        <w:t>mapa.</w:t>
      </w:r>
      <w:r w:rsidRPr="008C68FF">
        <w:rPr>
          <w:rFonts w:eastAsia="Calibri" w:cs="Times New Roman"/>
          <w:sz w:val="20"/>
          <w:szCs w:val="20"/>
          <w:lang w:eastAsia="ar-SA"/>
        </w:rPr>
        <w:t>Pará</w:t>
      </w:r>
      <w:proofErr w:type="spellEnd"/>
      <w:r w:rsidRPr="008C68FF">
        <w:rPr>
          <w:rFonts w:eastAsia="Calibri" w:cs="Times New Roman"/>
          <w:b/>
          <w:sz w:val="20"/>
          <w:szCs w:val="20"/>
          <w:lang w:eastAsia="ar-SA"/>
        </w:rPr>
        <w:t xml:space="preserve">, </w:t>
      </w:r>
      <w:r w:rsidRPr="008C68FF">
        <w:rPr>
          <w:rFonts w:eastAsia="Calibri" w:cs="Times New Roman"/>
          <w:sz w:val="20"/>
          <w:szCs w:val="20"/>
          <w:lang w:eastAsia="ar-SA"/>
        </w:rPr>
        <w:t xml:space="preserve">2009. Disponível: </w:t>
      </w:r>
      <w:hyperlink r:id="rId8" w:history="1">
        <w:r w:rsidR="008C68FF" w:rsidRPr="008C68FF">
          <w:rPr>
            <w:rStyle w:val="Hyperlink"/>
            <w:rFonts w:eastAsia="Calibri" w:cs="Times New Roman"/>
            <w:b/>
            <w:sz w:val="20"/>
            <w:szCs w:val="20"/>
            <w:lang w:eastAsia="ar-SA"/>
          </w:rPr>
          <w:t>www.iterpa.gov.br</w:t>
        </w:r>
      </w:hyperlink>
    </w:p>
    <w:p w:rsidR="008C68FF" w:rsidRPr="008C68FF" w:rsidRDefault="008C68FF" w:rsidP="00DB49B3">
      <w:pPr>
        <w:tabs>
          <w:tab w:val="left" w:pos="1870"/>
          <w:tab w:val="left" w:pos="2090"/>
        </w:tabs>
        <w:suppressAutoHyphens/>
        <w:spacing w:line="240" w:lineRule="auto"/>
        <w:ind w:firstLine="0"/>
        <w:rPr>
          <w:rFonts w:eastAsia="Calibri" w:cs="Times New Roman"/>
          <w:b/>
          <w:color w:val="0000FF"/>
          <w:sz w:val="20"/>
          <w:szCs w:val="20"/>
          <w:lang w:eastAsia="ar-SA"/>
        </w:rPr>
      </w:pPr>
    </w:p>
    <w:p w:rsidR="008C68FF" w:rsidRDefault="008C68FF" w:rsidP="00DB49B3">
      <w:pPr>
        <w:tabs>
          <w:tab w:val="left" w:pos="1870"/>
          <w:tab w:val="left" w:pos="2090"/>
        </w:tabs>
        <w:suppressAutoHyphens/>
        <w:spacing w:line="240" w:lineRule="auto"/>
        <w:ind w:firstLine="0"/>
        <w:rPr>
          <w:sz w:val="20"/>
          <w:szCs w:val="20"/>
        </w:rPr>
      </w:pPr>
      <w:r w:rsidRPr="008C68FF">
        <w:rPr>
          <w:sz w:val="20"/>
          <w:szCs w:val="20"/>
        </w:rPr>
        <w:t xml:space="preserve">            CARDOSO, Maria Barbara da Costa. </w:t>
      </w:r>
      <w:r w:rsidRPr="008C68FF">
        <w:rPr>
          <w:b/>
          <w:sz w:val="20"/>
          <w:szCs w:val="20"/>
        </w:rPr>
        <w:t xml:space="preserve">Saberes ribeirinhos quilombolas e sua relação com a educação de jovens e adultos da comunidade de São João do Médio </w:t>
      </w:r>
      <w:proofErr w:type="spellStart"/>
      <w:r w:rsidRPr="008C68FF">
        <w:rPr>
          <w:b/>
          <w:sz w:val="20"/>
          <w:szCs w:val="20"/>
        </w:rPr>
        <w:t>Itacuruçá</w:t>
      </w:r>
      <w:proofErr w:type="spellEnd"/>
      <w:r w:rsidRPr="008C68FF">
        <w:rPr>
          <w:b/>
          <w:sz w:val="20"/>
          <w:szCs w:val="20"/>
        </w:rPr>
        <w:t>, Abaetetuba/PA</w:t>
      </w:r>
      <w:r w:rsidRPr="008C68FF">
        <w:rPr>
          <w:sz w:val="20"/>
          <w:szCs w:val="20"/>
        </w:rPr>
        <w:t xml:space="preserve"> /2012. Dissertação (Mestrado) - Universidade Federal do Pará, Instituto de Ciências da Educação.</w:t>
      </w:r>
    </w:p>
    <w:p w:rsidR="008C68FF" w:rsidRPr="008C68FF" w:rsidRDefault="008C68FF" w:rsidP="00DB49B3">
      <w:pPr>
        <w:tabs>
          <w:tab w:val="left" w:pos="1870"/>
          <w:tab w:val="left" w:pos="2090"/>
        </w:tabs>
        <w:suppressAutoHyphens/>
        <w:spacing w:line="240" w:lineRule="auto"/>
        <w:ind w:firstLine="0"/>
        <w:rPr>
          <w:rFonts w:eastAsia="Calibri" w:cs="Times New Roman"/>
          <w:b/>
          <w:color w:val="0000FF"/>
          <w:sz w:val="20"/>
          <w:szCs w:val="20"/>
          <w:lang w:eastAsia="ar-SA"/>
        </w:rPr>
      </w:pPr>
    </w:p>
    <w:p w:rsidR="00DB49B3" w:rsidRPr="008C68FF" w:rsidRDefault="00DB49B3" w:rsidP="00DB49B3">
      <w:pPr>
        <w:tabs>
          <w:tab w:val="left" w:pos="426"/>
          <w:tab w:val="left" w:pos="1276"/>
        </w:tabs>
        <w:suppressAutoHyphens/>
        <w:spacing w:line="240" w:lineRule="auto"/>
        <w:ind w:firstLine="0"/>
        <w:rPr>
          <w:rFonts w:eastAsia="Calibri" w:cs="Times New Roman"/>
          <w:sz w:val="20"/>
          <w:szCs w:val="20"/>
          <w:lang w:eastAsia="ar-SA"/>
        </w:rPr>
      </w:pPr>
      <w:r w:rsidRPr="008C68FF">
        <w:rPr>
          <w:rFonts w:eastAsia="Calibri" w:cs="Times New Roman"/>
          <w:b/>
          <w:sz w:val="20"/>
          <w:szCs w:val="20"/>
          <w:lang w:eastAsia="ar-SA"/>
        </w:rPr>
        <w:t xml:space="preserve">            </w:t>
      </w:r>
      <w:r w:rsidRPr="008C68FF">
        <w:rPr>
          <w:rFonts w:eastAsia="Calibri" w:cs="Times New Roman"/>
          <w:sz w:val="20"/>
          <w:szCs w:val="20"/>
          <w:lang w:eastAsia="ar-SA"/>
        </w:rPr>
        <w:t xml:space="preserve">FREIRE. Paulo. </w:t>
      </w:r>
      <w:r w:rsidRPr="008C68FF">
        <w:rPr>
          <w:rFonts w:eastAsia="Calibri" w:cs="Times New Roman"/>
          <w:b/>
          <w:sz w:val="20"/>
          <w:szCs w:val="20"/>
          <w:lang w:eastAsia="ar-SA"/>
        </w:rPr>
        <w:t>Conscientização. Teoria e Prática da Liberdade</w:t>
      </w:r>
      <w:r w:rsidRPr="008C68FF">
        <w:rPr>
          <w:rFonts w:eastAsia="Calibri" w:cs="Times New Roman"/>
          <w:sz w:val="20"/>
          <w:szCs w:val="20"/>
          <w:lang w:eastAsia="ar-SA"/>
        </w:rPr>
        <w:t>.  Introdução ao pensamento de Paulo Freire. São Paulo: Cortez, 1983.</w:t>
      </w:r>
    </w:p>
    <w:p w:rsidR="00DB49B3" w:rsidRDefault="00DB49B3" w:rsidP="00DB49B3">
      <w:pPr>
        <w:tabs>
          <w:tab w:val="left" w:pos="1276"/>
        </w:tabs>
        <w:suppressAutoHyphens/>
        <w:spacing w:line="240" w:lineRule="auto"/>
        <w:rPr>
          <w:rFonts w:eastAsia="Calibri" w:cs="Times New Roman"/>
          <w:sz w:val="20"/>
          <w:szCs w:val="20"/>
          <w:lang w:eastAsia="ar-SA"/>
        </w:rPr>
      </w:pPr>
      <w:proofErr w:type="gramStart"/>
      <w:r w:rsidRPr="008C68FF">
        <w:rPr>
          <w:rFonts w:eastAsia="Calibri" w:cs="Times New Roman"/>
          <w:sz w:val="20"/>
          <w:szCs w:val="20"/>
          <w:lang w:eastAsia="ar-SA"/>
        </w:rPr>
        <w:t>.....................</w:t>
      </w:r>
      <w:proofErr w:type="gramEnd"/>
      <w:r w:rsidRPr="008C68FF">
        <w:rPr>
          <w:rFonts w:eastAsia="Calibri" w:cs="Times New Roman"/>
          <w:b/>
          <w:sz w:val="20"/>
          <w:szCs w:val="20"/>
          <w:lang w:eastAsia="ar-SA"/>
        </w:rPr>
        <w:t>Educação e Mudança</w:t>
      </w:r>
      <w:r w:rsidRPr="008C68FF">
        <w:rPr>
          <w:rFonts w:eastAsia="Calibri" w:cs="Times New Roman"/>
          <w:sz w:val="20"/>
          <w:szCs w:val="20"/>
          <w:lang w:eastAsia="ar-SA"/>
        </w:rPr>
        <w:t xml:space="preserve">. São Paulo: Paz e Terra, </w:t>
      </w:r>
      <w:proofErr w:type="gramStart"/>
      <w:r w:rsidRPr="008C68FF">
        <w:rPr>
          <w:rFonts w:eastAsia="Calibri" w:cs="Times New Roman"/>
          <w:sz w:val="20"/>
          <w:szCs w:val="20"/>
          <w:lang w:eastAsia="ar-SA"/>
        </w:rPr>
        <w:t>1986</w:t>
      </w:r>
      <w:proofErr w:type="gramEnd"/>
    </w:p>
    <w:p w:rsidR="008D79AA" w:rsidRPr="008C68FF" w:rsidRDefault="008D79AA" w:rsidP="00DB49B3">
      <w:pPr>
        <w:tabs>
          <w:tab w:val="left" w:pos="1276"/>
        </w:tabs>
        <w:suppressAutoHyphens/>
        <w:spacing w:line="240" w:lineRule="auto"/>
        <w:rPr>
          <w:rFonts w:eastAsia="Calibri" w:cs="Times New Roman"/>
          <w:sz w:val="20"/>
          <w:szCs w:val="20"/>
          <w:lang w:eastAsia="ar-SA"/>
        </w:rPr>
      </w:pPr>
    </w:p>
    <w:p w:rsidR="00DB49B3"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r w:rsidRPr="008C68FF">
        <w:rPr>
          <w:rFonts w:eastAsia="Calibri" w:cs="Times New Roman"/>
          <w:b/>
          <w:sz w:val="20"/>
          <w:szCs w:val="20"/>
        </w:rPr>
        <w:t xml:space="preserve">     </w:t>
      </w:r>
      <w:r w:rsidRPr="008C68FF">
        <w:rPr>
          <w:rFonts w:eastAsia="Calibri" w:cs="Times New Roman"/>
          <w:sz w:val="20"/>
          <w:szCs w:val="20"/>
        </w:rPr>
        <w:t xml:space="preserve">       FURTADO. L. Leitão, W</w:t>
      </w:r>
      <w:proofErr w:type="gramStart"/>
      <w:r w:rsidRPr="008C68FF">
        <w:rPr>
          <w:rFonts w:eastAsia="Calibri" w:cs="Times New Roman"/>
          <w:sz w:val="20"/>
          <w:szCs w:val="20"/>
        </w:rPr>
        <w:t>.,</w:t>
      </w:r>
      <w:proofErr w:type="gramEnd"/>
      <w:r w:rsidRPr="008C68FF">
        <w:rPr>
          <w:rFonts w:eastAsia="Calibri" w:cs="Times New Roman"/>
          <w:sz w:val="20"/>
          <w:szCs w:val="20"/>
        </w:rPr>
        <w:t xml:space="preserve"> Mello, A. F. (1993). </w:t>
      </w:r>
      <w:r w:rsidRPr="008C68FF">
        <w:rPr>
          <w:rFonts w:eastAsia="Calibri" w:cs="Times New Roman"/>
          <w:b/>
          <w:bCs/>
          <w:sz w:val="20"/>
          <w:szCs w:val="20"/>
        </w:rPr>
        <w:t>Povos das águas: realidade e perspectivas na Amazônia</w:t>
      </w:r>
      <w:r w:rsidRPr="008C68FF">
        <w:rPr>
          <w:rFonts w:eastAsia="Calibri" w:cs="Times New Roman"/>
          <w:b/>
          <w:sz w:val="20"/>
          <w:szCs w:val="20"/>
        </w:rPr>
        <w:t xml:space="preserve">. </w:t>
      </w:r>
      <w:r w:rsidRPr="008C68FF">
        <w:rPr>
          <w:rFonts w:eastAsia="Calibri" w:cs="Times New Roman"/>
          <w:sz w:val="20"/>
          <w:szCs w:val="20"/>
        </w:rPr>
        <w:t>Museu Paraense Emílio Goeldi, Belém-PA.</w:t>
      </w:r>
    </w:p>
    <w:p w:rsidR="008D79AA" w:rsidRPr="008C68FF"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p>
    <w:p w:rsidR="00DB49B3"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r w:rsidRPr="008C68FF">
        <w:rPr>
          <w:rFonts w:eastAsia="Calibri" w:cs="Times New Roman"/>
          <w:sz w:val="20"/>
          <w:szCs w:val="20"/>
        </w:rPr>
        <w:t xml:space="preserve">            IBGE, em parceria com os Órgãos Estaduais de Estatística, Secretarias Estaduais de Governo e Superintendência da Zona Franca de Manaus. </w:t>
      </w:r>
      <w:r w:rsidRPr="008C68FF">
        <w:rPr>
          <w:rFonts w:eastAsia="Calibri" w:cs="Times New Roman"/>
          <w:b/>
          <w:sz w:val="20"/>
          <w:szCs w:val="20"/>
        </w:rPr>
        <w:t>Dados da Educação</w:t>
      </w:r>
      <w:r w:rsidRPr="008C68FF">
        <w:rPr>
          <w:rFonts w:eastAsia="Calibri" w:cs="Times New Roman"/>
          <w:sz w:val="20"/>
          <w:szCs w:val="20"/>
        </w:rPr>
        <w:t xml:space="preserve">. SUFRAMA IBGE- 2010. Disponível: </w:t>
      </w:r>
      <w:hyperlink r:id="rId9" w:history="1">
        <w:r w:rsidRPr="008C68FF">
          <w:rPr>
            <w:rFonts w:eastAsia="Calibri" w:cs="Times New Roman"/>
            <w:color w:val="0000FF"/>
            <w:sz w:val="20"/>
            <w:szCs w:val="20"/>
            <w:u w:val="single"/>
          </w:rPr>
          <w:t>www.ibgecidades@.gov.br</w:t>
        </w:r>
      </w:hyperlink>
      <w:r w:rsidRPr="008C68FF">
        <w:rPr>
          <w:rFonts w:eastAsia="Calibri" w:cs="Times New Roman"/>
          <w:sz w:val="20"/>
          <w:szCs w:val="20"/>
        </w:rPr>
        <w:t>.</w:t>
      </w:r>
    </w:p>
    <w:p w:rsidR="008D79AA" w:rsidRPr="008C68FF"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p>
    <w:p w:rsidR="00DB49B3" w:rsidRPr="008C68FF" w:rsidRDefault="007473E9" w:rsidP="007473E9">
      <w:pPr>
        <w:tabs>
          <w:tab w:val="left" w:pos="284"/>
          <w:tab w:val="left" w:pos="426"/>
          <w:tab w:val="left" w:pos="709"/>
        </w:tabs>
        <w:autoSpaceDE w:val="0"/>
        <w:autoSpaceDN w:val="0"/>
        <w:adjustRightInd w:val="0"/>
        <w:spacing w:line="240" w:lineRule="auto"/>
        <w:ind w:firstLine="0"/>
        <w:rPr>
          <w:rFonts w:eastAsia="Times New Roman" w:cs="Times New Roman"/>
          <w:b/>
          <w:color w:val="222222"/>
          <w:sz w:val="20"/>
          <w:szCs w:val="20"/>
          <w:lang w:eastAsia="pt-BR"/>
        </w:rPr>
      </w:pPr>
      <w:r w:rsidRPr="008C68FF">
        <w:rPr>
          <w:rFonts w:eastAsia="Calibri" w:cs="Times New Roman"/>
          <w:b/>
          <w:sz w:val="20"/>
          <w:szCs w:val="20"/>
        </w:rPr>
        <w:t xml:space="preserve">          </w:t>
      </w:r>
      <w:r w:rsidR="00DB49B3" w:rsidRPr="008C68FF">
        <w:rPr>
          <w:rFonts w:eastAsia="Calibri" w:cs="Times New Roman"/>
          <w:sz w:val="20"/>
          <w:szCs w:val="20"/>
        </w:rPr>
        <w:t xml:space="preserve"> VILHENA.</w:t>
      </w:r>
      <w:r w:rsidR="00DB49B3" w:rsidRPr="008C68FF">
        <w:rPr>
          <w:rFonts w:eastAsia="Calibri" w:cs="Times New Roman"/>
          <w:b/>
          <w:sz w:val="20"/>
          <w:szCs w:val="20"/>
        </w:rPr>
        <w:t xml:space="preserve"> </w:t>
      </w:r>
      <w:proofErr w:type="spellStart"/>
      <w:r w:rsidR="00DB49B3" w:rsidRPr="008C68FF">
        <w:rPr>
          <w:rFonts w:eastAsia="Calibri" w:cs="Times New Roman"/>
          <w:sz w:val="20"/>
          <w:szCs w:val="20"/>
        </w:rPr>
        <w:t>Josiel</w:t>
      </w:r>
      <w:proofErr w:type="spellEnd"/>
      <w:r w:rsidR="00DB49B3" w:rsidRPr="008C68FF">
        <w:rPr>
          <w:rFonts w:eastAsia="Calibri" w:cs="Times New Roman"/>
          <w:sz w:val="20"/>
          <w:szCs w:val="20"/>
        </w:rPr>
        <w:t xml:space="preserve"> </w:t>
      </w:r>
      <w:proofErr w:type="spellStart"/>
      <w:proofErr w:type="gramStart"/>
      <w:r w:rsidR="00DB49B3" w:rsidRPr="008C68FF">
        <w:rPr>
          <w:rFonts w:eastAsia="Calibri" w:cs="Times New Roman"/>
          <w:sz w:val="20"/>
          <w:szCs w:val="20"/>
        </w:rPr>
        <w:t>do.</w:t>
      </w:r>
      <w:proofErr w:type="gramEnd"/>
      <w:r w:rsidR="00DB49B3" w:rsidRPr="008C68FF">
        <w:rPr>
          <w:rFonts w:eastAsia="Calibri" w:cs="Times New Roman"/>
          <w:sz w:val="20"/>
          <w:szCs w:val="20"/>
        </w:rPr>
        <w:t>Rêgo.</w:t>
      </w:r>
      <w:r w:rsidR="00DB49B3" w:rsidRPr="008C68FF">
        <w:rPr>
          <w:rFonts w:eastAsia="Calibri" w:cs="Times New Roman"/>
          <w:b/>
          <w:sz w:val="20"/>
          <w:szCs w:val="20"/>
        </w:rPr>
        <w:t>Relação</w:t>
      </w:r>
      <w:proofErr w:type="spellEnd"/>
      <w:r w:rsidR="00DB49B3" w:rsidRPr="008C68FF">
        <w:rPr>
          <w:rFonts w:eastAsia="Calibri" w:cs="Times New Roman"/>
          <w:b/>
          <w:sz w:val="20"/>
          <w:szCs w:val="20"/>
        </w:rPr>
        <w:t xml:space="preserve"> sociedade/natureza: Adaptabilidade humana frente a escassez do pescado em uma párea do estuário </w:t>
      </w:r>
      <w:proofErr w:type="spellStart"/>
      <w:r w:rsidR="00DB49B3" w:rsidRPr="008C68FF">
        <w:rPr>
          <w:rFonts w:eastAsia="Calibri" w:cs="Times New Roman"/>
          <w:b/>
          <w:sz w:val="20"/>
          <w:szCs w:val="20"/>
        </w:rPr>
        <w:t>Amazônico.</w:t>
      </w:r>
      <w:r w:rsidR="00DB49B3" w:rsidRPr="008C68FF">
        <w:rPr>
          <w:rFonts w:eastAsia="Calibri" w:cs="Times New Roman"/>
          <w:sz w:val="20"/>
          <w:szCs w:val="20"/>
        </w:rPr>
        <w:t>Universidade</w:t>
      </w:r>
      <w:proofErr w:type="spellEnd"/>
      <w:r w:rsidR="00DB49B3" w:rsidRPr="008C68FF">
        <w:rPr>
          <w:rFonts w:eastAsia="Calibri" w:cs="Times New Roman"/>
          <w:sz w:val="20"/>
          <w:szCs w:val="20"/>
        </w:rPr>
        <w:t xml:space="preserve"> Federal do </w:t>
      </w:r>
      <w:proofErr w:type="spellStart"/>
      <w:r w:rsidR="00DB49B3" w:rsidRPr="008C68FF">
        <w:rPr>
          <w:rFonts w:eastAsia="Calibri" w:cs="Times New Roman"/>
          <w:sz w:val="20"/>
          <w:szCs w:val="20"/>
        </w:rPr>
        <w:t>Pará-Programa</w:t>
      </w:r>
      <w:proofErr w:type="spellEnd"/>
      <w:r w:rsidR="00DB49B3" w:rsidRPr="008C68FF">
        <w:rPr>
          <w:rFonts w:eastAsia="Calibri" w:cs="Times New Roman"/>
          <w:sz w:val="20"/>
          <w:szCs w:val="20"/>
        </w:rPr>
        <w:t xml:space="preserve"> de Pós-Graduação em Sociologia. Dissertação de Mestrado-Belém-PA. 2009. Disponível em </w:t>
      </w:r>
      <w:hyperlink r:id="rId10" w:history="1">
        <w:r w:rsidR="00DB49B3" w:rsidRPr="008C68FF">
          <w:rPr>
            <w:rFonts w:eastAsia="Calibri" w:cs="Times New Roman"/>
            <w:b/>
            <w:color w:val="0000FF"/>
            <w:sz w:val="20"/>
            <w:szCs w:val="20"/>
            <w:u w:val="single"/>
          </w:rPr>
          <w:t>www.ufpa.br</w:t>
        </w:r>
      </w:hyperlink>
      <w:r w:rsidR="00DB49B3" w:rsidRPr="008C68FF">
        <w:rPr>
          <w:rFonts w:eastAsia="Calibri" w:cs="Times New Roman"/>
          <w:b/>
          <w:color w:val="0000FF"/>
          <w:sz w:val="20"/>
          <w:szCs w:val="20"/>
        </w:rPr>
        <w:t>.</w:t>
      </w:r>
    </w:p>
    <w:sectPr w:rsidR="00DB49B3" w:rsidRPr="008C68FF" w:rsidSect="00606022">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870" w:rsidRDefault="00C95870" w:rsidP="004C7AB7">
      <w:pPr>
        <w:spacing w:line="240" w:lineRule="auto"/>
      </w:pPr>
      <w:r>
        <w:separator/>
      </w:r>
    </w:p>
  </w:endnote>
  <w:endnote w:type="continuationSeparator" w:id="0">
    <w:p w:rsidR="00C95870" w:rsidRDefault="00C9587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8C68FF">
    <w:pPr>
      <w:pStyle w:val="Rodap"/>
    </w:pPr>
    <w:r w:rsidRPr="006E543C">
      <w:rPr>
        <w:rFonts w:eastAsia="Calibri" w:cs="Times New Roman"/>
        <w:noProof/>
        <w:lang w:eastAsia="pt-BR"/>
      </w:rPr>
      <w:drawing>
        <wp:anchor distT="0" distB="0" distL="114300" distR="114300" simplePos="0" relativeHeight="251661312" behindDoc="1" locked="0" layoutInCell="1" allowOverlap="1" wp14:anchorId="705F5D77" wp14:editId="15919D63">
          <wp:simplePos x="0" y="0"/>
          <wp:positionH relativeFrom="column">
            <wp:posOffset>-1067435</wp:posOffset>
          </wp:positionH>
          <wp:positionV relativeFrom="page">
            <wp:posOffset>10052050</wp:posOffset>
          </wp:positionV>
          <wp:extent cx="7670800" cy="696595"/>
          <wp:effectExtent l="0" t="0" r="635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0800" cy="69659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870" w:rsidRDefault="00C95870" w:rsidP="004C7AB7">
      <w:pPr>
        <w:spacing w:line="240" w:lineRule="auto"/>
      </w:pPr>
      <w:r>
        <w:separator/>
      </w:r>
    </w:p>
  </w:footnote>
  <w:footnote w:type="continuationSeparator" w:id="0">
    <w:p w:rsidR="00C95870" w:rsidRDefault="00C95870"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10. Disponível: www</w:t>
      </w:r>
      <w:r w:rsidRPr="00DF7A9D">
        <w:rPr>
          <w:rFonts w:ascii="Times New Roman" w:hAnsi="Times New Roman"/>
        </w:rPr>
        <w:t>.ibgecidades</w:t>
      </w:r>
      <w:proofErr w:type="gramStart"/>
      <w:r w:rsidRPr="00DF7A9D">
        <w:rPr>
          <w:rFonts w:ascii="Times New Roman" w:hAnsi="Times New Roman"/>
        </w:rPr>
        <w:t>@.</w:t>
      </w:r>
      <w:proofErr w:type="gram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958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9587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B5014"/>
    <w:rsid w:val="0010278D"/>
    <w:rsid w:val="0010290D"/>
    <w:rsid w:val="00122705"/>
    <w:rsid w:val="00140C4F"/>
    <w:rsid w:val="00175053"/>
    <w:rsid w:val="00175D63"/>
    <w:rsid w:val="00184185"/>
    <w:rsid w:val="001B3BAD"/>
    <w:rsid w:val="001B644D"/>
    <w:rsid w:val="00200DAB"/>
    <w:rsid w:val="002029EF"/>
    <w:rsid w:val="002073CE"/>
    <w:rsid w:val="00225AA3"/>
    <w:rsid w:val="00282B3B"/>
    <w:rsid w:val="002B1D11"/>
    <w:rsid w:val="002B6CA6"/>
    <w:rsid w:val="002C4289"/>
    <w:rsid w:val="002F1781"/>
    <w:rsid w:val="002F74AD"/>
    <w:rsid w:val="0030056D"/>
    <w:rsid w:val="00304A66"/>
    <w:rsid w:val="003434D7"/>
    <w:rsid w:val="00350976"/>
    <w:rsid w:val="00350FAD"/>
    <w:rsid w:val="00371B93"/>
    <w:rsid w:val="003730CF"/>
    <w:rsid w:val="00381091"/>
    <w:rsid w:val="00381AC8"/>
    <w:rsid w:val="003954AB"/>
    <w:rsid w:val="00397C9F"/>
    <w:rsid w:val="003A2CF8"/>
    <w:rsid w:val="003C14A1"/>
    <w:rsid w:val="003C7141"/>
    <w:rsid w:val="003C7208"/>
    <w:rsid w:val="003D4887"/>
    <w:rsid w:val="00410D45"/>
    <w:rsid w:val="004200E3"/>
    <w:rsid w:val="004251A3"/>
    <w:rsid w:val="0044735C"/>
    <w:rsid w:val="00497918"/>
    <w:rsid w:val="004B45B7"/>
    <w:rsid w:val="004C6B3C"/>
    <w:rsid w:val="004C7AB7"/>
    <w:rsid w:val="004D30B1"/>
    <w:rsid w:val="00500771"/>
    <w:rsid w:val="00524051"/>
    <w:rsid w:val="00562FA8"/>
    <w:rsid w:val="005700ED"/>
    <w:rsid w:val="00595204"/>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6557"/>
    <w:rsid w:val="00701D3B"/>
    <w:rsid w:val="007066D2"/>
    <w:rsid w:val="00711CAB"/>
    <w:rsid w:val="00716FBF"/>
    <w:rsid w:val="007302AC"/>
    <w:rsid w:val="00740510"/>
    <w:rsid w:val="00743849"/>
    <w:rsid w:val="00746F1A"/>
    <w:rsid w:val="007473E9"/>
    <w:rsid w:val="007A4E37"/>
    <w:rsid w:val="007E15C6"/>
    <w:rsid w:val="007E434E"/>
    <w:rsid w:val="007E6FBA"/>
    <w:rsid w:val="00830BC8"/>
    <w:rsid w:val="00835CBE"/>
    <w:rsid w:val="00840D9F"/>
    <w:rsid w:val="008448A5"/>
    <w:rsid w:val="008601D2"/>
    <w:rsid w:val="00865382"/>
    <w:rsid w:val="0087793C"/>
    <w:rsid w:val="0089550F"/>
    <w:rsid w:val="008A5A7D"/>
    <w:rsid w:val="008C68FF"/>
    <w:rsid w:val="008D4C53"/>
    <w:rsid w:val="008D6CEB"/>
    <w:rsid w:val="008D79AA"/>
    <w:rsid w:val="008F4BA5"/>
    <w:rsid w:val="00910473"/>
    <w:rsid w:val="009132E5"/>
    <w:rsid w:val="009609DB"/>
    <w:rsid w:val="00971E5E"/>
    <w:rsid w:val="00972CB0"/>
    <w:rsid w:val="00975E96"/>
    <w:rsid w:val="00981306"/>
    <w:rsid w:val="009A1291"/>
    <w:rsid w:val="009A17C0"/>
    <w:rsid w:val="009A4076"/>
    <w:rsid w:val="009D2141"/>
    <w:rsid w:val="00A056B4"/>
    <w:rsid w:val="00A14424"/>
    <w:rsid w:val="00A22B5C"/>
    <w:rsid w:val="00A27581"/>
    <w:rsid w:val="00A608F6"/>
    <w:rsid w:val="00A87822"/>
    <w:rsid w:val="00AA4407"/>
    <w:rsid w:val="00AD26AE"/>
    <w:rsid w:val="00AE452F"/>
    <w:rsid w:val="00B17F9A"/>
    <w:rsid w:val="00B548B5"/>
    <w:rsid w:val="00BB0565"/>
    <w:rsid w:val="00BB5BD5"/>
    <w:rsid w:val="00BC3A0D"/>
    <w:rsid w:val="00BC570F"/>
    <w:rsid w:val="00C019EC"/>
    <w:rsid w:val="00C04D80"/>
    <w:rsid w:val="00C13BD4"/>
    <w:rsid w:val="00C14D81"/>
    <w:rsid w:val="00C244A2"/>
    <w:rsid w:val="00C30E1D"/>
    <w:rsid w:val="00C330DA"/>
    <w:rsid w:val="00C512A6"/>
    <w:rsid w:val="00C66175"/>
    <w:rsid w:val="00C95870"/>
    <w:rsid w:val="00CB19FC"/>
    <w:rsid w:val="00CB6B28"/>
    <w:rsid w:val="00CD5B28"/>
    <w:rsid w:val="00D0228F"/>
    <w:rsid w:val="00D11270"/>
    <w:rsid w:val="00D113D8"/>
    <w:rsid w:val="00D14063"/>
    <w:rsid w:val="00D25E4F"/>
    <w:rsid w:val="00D57D31"/>
    <w:rsid w:val="00D77A80"/>
    <w:rsid w:val="00D821A7"/>
    <w:rsid w:val="00D92FD9"/>
    <w:rsid w:val="00D96D6C"/>
    <w:rsid w:val="00DA4219"/>
    <w:rsid w:val="00DA7AF2"/>
    <w:rsid w:val="00DB49B3"/>
    <w:rsid w:val="00DC65D5"/>
    <w:rsid w:val="00E14D3B"/>
    <w:rsid w:val="00E27372"/>
    <w:rsid w:val="00E2792E"/>
    <w:rsid w:val="00E30BAA"/>
    <w:rsid w:val="00E46640"/>
    <w:rsid w:val="00E6559A"/>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pa.gov.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fpa.br" TargetMode="External"/><Relationship Id="rId4" Type="http://schemas.openxmlformats.org/officeDocument/2006/relationships/settings" Target="settings.xml"/><Relationship Id="rId9" Type="http://schemas.openxmlformats.org/officeDocument/2006/relationships/hyperlink" Target="http://www.ibgecidades@.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BAB5-298B-4BF8-B6F1-68E87E0B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4984</Words>
  <Characters>26917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10</cp:revision>
  <dcterms:created xsi:type="dcterms:W3CDTF">2018-10-24T13:46:00Z</dcterms:created>
  <dcterms:modified xsi:type="dcterms:W3CDTF">2018-10-30T17:32:00Z</dcterms:modified>
</cp:coreProperties>
</file>