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395" w:rsidRPr="004F6395" w:rsidRDefault="004F6395" w:rsidP="004F6395">
      <w:pPr>
        <w:ind w:firstLine="0"/>
        <w:jc w:val="center"/>
        <w:rPr>
          <w:rFonts w:eastAsia="Calibri" w:cs="Times New Roman"/>
          <w:b/>
        </w:rPr>
      </w:pPr>
      <w:bookmarkStart w:id="0" w:name="_Hlk525322183"/>
      <w:r w:rsidRPr="004F6395">
        <w:rPr>
          <w:rFonts w:eastAsia="Calibri" w:cs="Times New Roman"/>
          <w:b/>
        </w:rPr>
        <w:t>A REPRESENTATIVIDADE DA CRIANÇA E DA INFÂNCIA EM LYGIA BOJUNGA</w:t>
      </w:r>
    </w:p>
    <w:p w:rsidR="004F6395" w:rsidRPr="004F6395" w:rsidRDefault="004F6395" w:rsidP="004F6395">
      <w:pPr>
        <w:spacing w:line="240" w:lineRule="auto"/>
        <w:ind w:firstLine="851"/>
        <w:jc w:val="right"/>
        <w:rPr>
          <w:rFonts w:eastAsia="Calibri" w:cs="Times New Roman"/>
        </w:rPr>
      </w:pPr>
      <w:bookmarkStart w:id="1" w:name="_Hlk525323071"/>
      <w:r w:rsidRPr="004F6395">
        <w:rPr>
          <w:rFonts w:eastAsia="Calibri" w:cs="Times New Roman"/>
        </w:rPr>
        <w:t>Maria Lourena de Queiroz</w:t>
      </w:r>
    </w:p>
    <w:p w:rsidR="005E77E8" w:rsidRDefault="005E77E8" w:rsidP="005E77E8">
      <w:pPr>
        <w:spacing w:line="240" w:lineRule="auto"/>
        <w:ind w:firstLine="0"/>
        <w:jc w:val="right"/>
        <w:rPr>
          <w:rFonts w:eastAsia="Calibri" w:cs="Times New Roman"/>
          <w:sz w:val="22"/>
        </w:rPr>
      </w:pPr>
      <w:r w:rsidRPr="005E77E8">
        <w:rPr>
          <w:rFonts w:eastAsia="Calibri" w:cs="Times New Roman"/>
          <w:sz w:val="22"/>
        </w:rPr>
        <w:t>Graduada em pedagogia pela Universidade do Estado do Rio Grande do Norte,</w:t>
      </w:r>
      <w:r>
        <w:rPr>
          <w:rFonts w:eastAsia="Calibri" w:cs="Times New Roman"/>
          <w:sz w:val="22"/>
        </w:rPr>
        <w:t xml:space="preserve"> </w:t>
      </w:r>
      <w:r w:rsidRPr="005E77E8">
        <w:rPr>
          <w:rFonts w:eastAsia="Calibri" w:cs="Times New Roman"/>
          <w:sz w:val="22"/>
        </w:rPr>
        <w:t>UERN.</w:t>
      </w:r>
      <w:r>
        <w:rPr>
          <w:rFonts w:eastAsia="Calibri" w:cs="Times New Roman"/>
          <w:sz w:val="22"/>
        </w:rPr>
        <w:t xml:space="preserve"> </w:t>
      </w:r>
    </w:p>
    <w:p w:rsidR="004F6395" w:rsidRDefault="004F6395" w:rsidP="005E77E8">
      <w:pPr>
        <w:spacing w:line="240" w:lineRule="auto"/>
        <w:ind w:firstLine="851"/>
        <w:jc w:val="right"/>
        <w:rPr>
          <w:rFonts w:eastAsia="Calibri" w:cs="Times New Roman"/>
          <w:sz w:val="22"/>
        </w:rPr>
      </w:pPr>
      <w:r w:rsidRPr="004F6395">
        <w:rPr>
          <w:rFonts w:eastAsia="Calibri" w:cs="Times New Roman"/>
          <w:sz w:val="22"/>
        </w:rPr>
        <w:t>lourenaqueiroz4@gmail.com</w:t>
      </w:r>
    </w:p>
    <w:p w:rsidR="005E77E8" w:rsidRPr="00475572" w:rsidRDefault="005E77E8" w:rsidP="005E77E8">
      <w:pPr>
        <w:autoSpaceDE w:val="0"/>
        <w:autoSpaceDN w:val="0"/>
        <w:adjustRightInd w:val="0"/>
        <w:spacing w:line="240" w:lineRule="auto"/>
        <w:ind w:firstLine="0"/>
        <w:jc w:val="right"/>
        <w:rPr>
          <w:color w:val="000000"/>
          <w:szCs w:val="24"/>
        </w:rPr>
      </w:pPr>
      <w:r w:rsidRPr="006F12D0">
        <w:t>Francisca Thais Pereira Costa</w:t>
      </w:r>
      <w:r w:rsidRPr="00475572">
        <w:rPr>
          <w:color w:val="000000"/>
          <w:szCs w:val="24"/>
        </w:rPr>
        <w:t xml:space="preserve"> </w:t>
      </w:r>
    </w:p>
    <w:p w:rsidR="005E77E8" w:rsidRDefault="005E77E8" w:rsidP="005E77E8">
      <w:pPr>
        <w:autoSpaceDE w:val="0"/>
        <w:autoSpaceDN w:val="0"/>
        <w:adjustRightInd w:val="0"/>
        <w:spacing w:line="240" w:lineRule="auto"/>
        <w:ind w:firstLine="0"/>
        <w:jc w:val="right"/>
        <w:rPr>
          <w:color w:val="000000"/>
          <w:sz w:val="22"/>
          <w:szCs w:val="24"/>
        </w:rPr>
      </w:pPr>
      <w:r w:rsidRPr="00475572">
        <w:rPr>
          <w:color w:val="000000"/>
          <w:sz w:val="22"/>
          <w:szCs w:val="24"/>
        </w:rPr>
        <w:t>Graduada em pedagogia pela Universidade do Estado do Rio Grande do Norte, UERN.</w:t>
      </w:r>
    </w:p>
    <w:p w:rsidR="005E77E8" w:rsidRPr="005E77E8" w:rsidRDefault="005E77E8" w:rsidP="005E77E8">
      <w:pPr>
        <w:autoSpaceDE w:val="0"/>
        <w:autoSpaceDN w:val="0"/>
        <w:adjustRightInd w:val="0"/>
        <w:spacing w:line="240" w:lineRule="auto"/>
        <w:ind w:firstLine="0"/>
        <w:jc w:val="right"/>
        <w:rPr>
          <w:b/>
          <w:color w:val="000000"/>
          <w:szCs w:val="24"/>
        </w:rPr>
      </w:pPr>
      <w:r w:rsidRPr="00475572">
        <w:rPr>
          <w:color w:val="000000"/>
          <w:sz w:val="22"/>
          <w:szCs w:val="24"/>
        </w:rPr>
        <w:t>E-mail: tatahpedagogia@outlook.com</w:t>
      </w:r>
      <w:r w:rsidRPr="00475572">
        <w:rPr>
          <w:color w:val="000000"/>
          <w:szCs w:val="24"/>
        </w:rPr>
        <w:t>.</w:t>
      </w:r>
    </w:p>
    <w:p w:rsidR="004F6395" w:rsidRPr="004F6395" w:rsidRDefault="004F6395" w:rsidP="004F6395">
      <w:pPr>
        <w:spacing w:line="240" w:lineRule="auto"/>
        <w:ind w:firstLine="851"/>
        <w:jc w:val="right"/>
        <w:rPr>
          <w:rFonts w:eastAsia="Calibri" w:cs="Times New Roman"/>
        </w:rPr>
      </w:pPr>
      <w:r w:rsidRPr="004F6395">
        <w:rPr>
          <w:rFonts w:eastAsia="Calibri" w:cs="Times New Roman"/>
        </w:rPr>
        <w:t>Iandra Fernandes Pereira Caldas</w:t>
      </w:r>
    </w:p>
    <w:p w:rsidR="004F6395" w:rsidRPr="004F6395" w:rsidRDefault="005E77E8" w:rsidP="004F6395">
      <w:pPr>
        <w:spacing w:line="240" w:lineRule="auto"/>
        <w:ind w:firstLine="851"/>
        <w:jc w:val="right"/>
        <w:rPr>
          <w:rFonts w:eastAsia="Calibri" w:cs="Times New Roman"/>
          <w:sz w:val="22"/>
        </w:rPr>
      </w:pPr>
      <w:r w:rsidRPr="005E77E8">
        <w:rPr>
          <w:rFonts w:eastAsia="Calibri" w:cs="Times New Roman"/>
          <w:sz w:val="22"/>
        </w:rPr>
        <w:t>Professora Ma. da Universidade do Estado do Rio Grande do Norte, UERN</w:t>
      </w:r>
      <w:r>
        <w:rPr>
          <w:rFonts w:eastAsia="Calibri" w:cs="Times New Roman"/>
          <w:sz w:val="22"/>
        </w:rPr>
        <w:t>.</w:t>
      </w:r>
      <w:bookmarkStart w:id="2" w:name="_GoBack"/>
      <w:bookmarkEnd w:id="2"/>
    </w:p>
    <w:p w:rsidR="004F6395" w:rsidRPr="004F6395" w:rsidRDefault="004F6395" w:rsidP="004F6395">
      <w:pPr>
        <w:spacing w:line="240" w:lineRule="auto"/>
        <w:ind w:firstLine="851"/>
        <w:jc w:val="right"/>
        <w:rPr>
          <w:rFonts w:eastAsia="Calibri" w:cs="Times New Roman"/>
          <w:sz w:val="22"/>
        </w:rPr>
      </w:pPr>
      <w:r w:rsidRPr="004F6395">
        <w:rPr>
          <w:rFonts w:eastAsia="Calibri" w:cs="Times New Roman"/>
          <w:sz w:val="22"/>
        </w:rPr>
        <w:t>iandrafernandes@hotmail.com</w:t>
      </w:r>
    </w:p>
    <w:bookmarkEnd w:id="1"/>
    <w:p w:rsidR="004F6395" w:rsidRPr="004F6395" w:rsidRDefault="004F6395" w:rsidP="004F6395">
      <w:pPr>
        <w:spacing w:line="240" w:lineRule="auto"/>
        <w:ind w:firstLine="0"/>
        <w:rPr>
          <w:rFonts w:eastAsia="Calibri" w:cs="Times New Roman"/>
          <w:b/>
        </w:rPr>
      </w:pPr>
    </w:p>
    <w:p w:rsidR="004F6395" w:rsidRPr="004F6395" w:rsidRDefault="004F6395" w:rsidP="004F6395">
      <w:pPr>
        <w:spacing w:line="240" w:lineRule="auto"/>
        <w:ind w:firstLine="0"/>
        <w:rPr>
          <w:rFonts w:eastAsia="Calibri" w:cs="Times New Roman"/>
          <w:szCs w:val="24"/>
        </w:rPr>
      </w:pPr>
      <w:r w:rsidRPr="004F6395">
        <w:rPr>
          <w:rFonts w:eastAsia="Calibri" w:cs="Times New Roman"/>
          <w:b/>
        </w:rPr>
        <w:t>RESUMO:</w:t>
      </w:r>
      <w:r w:rsidRPr="004F6395">
        <w:rPr>
          <w:rFonts w:eastAsia="Calibri" w:cs="Times New Roman"/>
          <w:sz w:val="22"/>
          <w:szCs w:val="24"/>
        </w:rPr>
        <w:t xml:space="preserve"> A literatura infantil brasileira foi, durante muito tempo, relegada a simples objeto de transposição da moral e de valores subjugados essenciais para o desenvolvimento infantil. Só depois de algumas mudanças, que custaram um longo período de estagnação, é que pudemos ver a criança, e seus interesses, representados e legitimados mais fidedignamente nesse campo. A essa e outras conquistas está associada a figura de muitos autores, como Monteiro Lobato, e, em especial, a de Lygia Bojunga. Com propósito de aprofundarmos as discussões a esse respeito, objetivamos compreender como a representatividade da criança e seus interesses são colocados nas obras de Lygia Bojunga. Por consequência do exposto, trata-se de pesquisa com abordagem qualitativa, do tipo bibliográfica, por meio do estudo indutivo. No intuito de construir um arcabouço teórico para as discussões, tomamos como base teórica os estudos de </w:t>
      </w:r>
      <w:proofErr w:type="spellStart"/>
      <w:r w:rsidRPr="004F6395">
        <w:rPr>
          <w:rFonts w:eastAsia="Calibri" w:cs="Times New Roman"/>
          <w:sz w:val="22"/>
          <w:szCs w:val="24"/>
        </w:rPr>
        <w:t>Sandroni</w:t>
      </w:r>
      <w:proofErr w:type="spellEnd"/>
      <w:r w:rsidRPr="004F6395">
        <w:rPr>
          <w:rFonts w:eastAsia="Calibri" w:cs="Times New Roman"/>
          <w:sz w:val="22"/>
          <w:szCs w:val="24"/>
        </w:rPr>
        <w:t xml:space="preserve"> (2011), Coelho (2000), Candido (2004), </w:t>
      </w:r>
      <w:proofErr w:type="spellStart"/>
      <w:r w:rsidRPr="004F6395">
        <w:rPr>
          <w:rFonts w:eastAsia="Calibri" w:cs="Times New Roman"/>
          <w:sz w:val="22"/>
          <w:szCs w:val="24"/>
        </w:rPr>
        <w:t>Cademartori</w:t>
      </w:r>
      <w:proofErr w:type="spellEnd"/>
      <w:r w:rsidRPr="004F6395">
        <w:rPr>
          <w:rFonts w:eastAsia="Calibri" w:cs="Times New Roman"/>
          <w:sz w:val="22"/>
          <w:szCs w:val="24"/>
        </w:rPr>
        <w:t xml:space="preserve"> (2006) e </w:t>
      </w:r>
      <w:proofErr w:type="spellStart"/>
      <w:r w:rsidRPr="004F6395">
        <w:rPr>
          <w:rFonts w:eastAsia="Calibri" w:cs="Times New Roman"/>
          <w:sz w:val="22"/>
          <w:szCs w:val="24"/>
        </w:rPr>
        <w:t>Zilberman</w:t>
      </w:r>
      <w:proofErr w:type="spellEnd"/>
      <w:r w:rsidRPr="004F6395">
        <w:rPr>
          <w:rFonts w:eastAsia="Calibri" w:cs="Times New Roman"/>
          <w:sz w:val="22"/>
          <w:szCs w:val="24"/>
        </w:rPr>
        <w:t xml:space="preserve"> (2005) que nos ajudar</w:t>
      </w:r>
      <w:r w:rsidR="00B94D7D">
        <w:rPr>
          <w:rFonts w:eastAsia="Calibri" w:cs="Times New Roman"/>
          <w:sz w:val="22"/>
          <w:szCs w:val="24"/>
        </w:rPr>
        <w:t>am</w:t>
      </w:r>
      <w:r w:rsidRPr="004F6395">
        <w:rPr>
          <w:rFonts w:eastAsia="Calibri" w:cs="Times New Roman"/>
          <w:sz w:val="22"/>
          <w:szCs w:val="24"/>
        </w:rPr>
        <w:t xml:space="preserve"> a compreender como o sujeito infantil e seus direitos foram colocados nos livros da autora em questão. Com </w:t>
      </w:r>
      <w:r w:rsidR="00237CE0">
        <w:rPr>
          <w:rFonts w:eastAsia="Calibri" w:cs="Times New Roman"/>
          <w:sz w:val="22"/>
          <w:szCs w:val="24"/>
        </w:rPr>
        <w:t>esse estudo concluímos que o</w:t>
      </w:r>
      <w:r w:rsidR="00237CE0" w:rsidRPr="00237CE0">
        <w:rPr>
          <w:rFonts w:eastAsia="Calibri" w:cs="Times New Roman"/>
          <w:sz w:val="22"/>
          <w:szCs w:val="24"/>
        </w:rPr>
        <w:t xml:space="preserve"> leitor encontra</w:t>
      </w:r>
      <w:r w:rsidR="00237CE0">
        <w:rPr>
          <w:rFonts w:eastAsia="Calibri" w:cs="Times New Roman"/>
          <w:sz w:val="22"/>
          <w:szCs w:val="24"/>
        </w:rPr>
        <w:t xml:space="preserve">, na escrita de </w:t>
      </w:r>
      <w:r w:rsidR="00237CE0" w:rsidRPr="00237CE0">
        <w:rPr>
          <w:rFonts w:eastAsia="Calibri" w:cs="Times New Roman"/>
          <w:sz w:val="22"/>
          <w:szCs w:val="24"/>
        </w:rPr>
        <w:t>Lygia Bojunga</w:t>
      </w:r>
      <w:r w:rsidR="00237CE0">
        <w:rPr>
          <w:rFonts w:eastAsia="Calibri" w:cs="Times New Roman"/>
          <w:sz w:val="22"/>
          <w:szCs w:val="24"/>
        </w:rPr>
        <w:t>,</w:t>
      </w:r>
      <w:r w:rsidR="00237CE0" w:rsidRPr="00237CE0">
        <w:rPr>
          <w:rFonts w:eastAsia="Calibri" w:cs="Times New Roman"/>
          <w:sz w:val="22"/>
          <w:szCs w:val="24"/>
        </w:rPr>
        <w:t xml:space="preserve"> um ambiente onde a criança é representada como supõe-se que deveria ser</w:t>
      </w:r>
      <w:r w:rsidR="00237CE0">
        <w:rPr>
          <w:rFonts w:eastAsia="Calibri" w:cs="Times New Roman"/>
          <w:sz w:val="22"/>
          <w:szCs w:val="24"/>
        </w:rPr>
        <w:t xml:space="preserve">, assim como um espaço </w:t>
      </w:r>
      <w:r w:rsidR="00237CE0" w:rsidRPr="00237CE0">
        <w:rPr>
          <w:rFonts w:eastAsia="Calibri" w:cs="Times New Roman"/>
          <w:sz w:val="22"/>
          <w:szCs w:val="24"/>
        </w:rPr>
        <w:t>de profícua reflexão, que possibilita enxergar uma nova perspectiva, a partir do universo ficcional, do ser criança</w:t>
      </w:r>
      <w:r w:rsidR="00B42B6C">
        <w:rPr>
          <w:rFonts w:eastAsia="Calibri" w:cs="Times New Roman"/>
          <w:sz w:val="22"/>
          <w:szCs w:val="24"/>
        </w:rPr>
        <w:t>.</w:t>
      </w:r>
    </w:p>
    <w:p w:rsidR="004F6395" w:rsidRPr="004F6395" w:rsidRDefault="004F6395" w:rsidP="00B346F1">
      <w:pPr>
        <w:spacing w:line="240" w:lineRule="auto"/>
        <w:ind w:firstLine="0"/>
        <w:rPr>
          <w:rFonts w:eastAsia="Calibri" w:cs="Times New Roman"/>
          <w:szCs w:val="24"/>
        </w:rPr>
      </w:pPr>
    </w:p>
    <w:p w:rsidR="004F6395" w:rsidRPr="004F6395" w:rsidRDefault="004F6395" w:rsidP="004F6395">
      <w:pPr>
        <w:ind w:firstLine="0"/>
        <w:rPr>
          <w:rFonts w:eastAsia="Calibri" w:cs="Times New Roman"/>
        </w:rPr>
      </w:pPr>
      <w:r w:rsidRPr="004F6395">
        <w:rPr>
          <w:rFonts w:eastAsia="Calibri" w:cs="Times New Roman"/>
          <w:b/>
        </w:rPr>
        <w:t xml:space="preserve">PALAVRAS-CHAVE: </w:t>
      </w:r>
      <w:r w:rsidRPr="004F6395">
        <w:rPr>
          <w:rFonts w:eastAsia="Calibri" w:cs="Times New Roman"/>
        </w:rPr>
        <w:t>Literatura Infantil. Criança. Representatividade.</w:t>
      </w:r>
    </w:p>
    <w:p w:rsidR="004F6395" w:rsidRPr="004F6395" w:rsidRDefault="004F6395" w:rsidP="004F6395">
      <w:pPr>
        <w:ind w:firstLine="0"/>
        <w:rPr>
          <w:rFonts w:eastAsia="Calibri" w:cs="Times New Roman"/>
        </w:rPr>
      </w:pPr>
    </w:p>
    <w:p w:rsidR="004F6395" w:rsidRPr="004F6395" w:rsidRDefault="004F6395" w:rsidP="004F6395">
      <w:pPr>
        <w:ind w:firstLine="0"/>
        <w:rPr>
          <w:rFonts w:eastAsia="Calibri" w:cs="Times New Roman"/>
          <w:b/>
        </w:rPr>
      </w:pPr>
      <w:r w:rsidRPr="004F6395">
        <w:rPr>
          <w:rFonts w:eastAsia="Calibri" w:cs="Times New Roman"/>
          <w:b/>
        </w:rPr>
        <w:t>INTRODUÇÃO</w:t>
      </w:r>
    </w:p>
    <w:bookmarkEnd w:id="0"/>
    <w:p w:rsidR="004F6395" w:rsidRPr="004F6395" w:rsidRDefault="004F6395" w:rsidP="004F6395">
      <w:pPr>
        <w:ind w:firstLine="851"/>
        <w:rPr>
          <w:rFonts w:eastAsia="Calibri" w:cs="Times New Roman"/>
        </w:rPr>
      </w:pPr>
      <w:r w:rsidRPr="004F6395">
        <w:rPr>
          <w:rFonts w:eastAsia="Calibri" w:cs="Times New Roman"/>
        </w:rPr>
        <w:t>As obras de Lygia Bojunga,</w:t>
      </w:r>
      <w:r w:rsidR="00B42B6C">
        <w:rPr>
          <w:rFonts w:eastAsia="Calibri" w:cs="Times New Roman"/>
        </w:rPr>
        <w:t xml:space="preserve"> </w:t>
      </w:r>
      <w:r w:rsidRPr="004F6395">
        <w:rPr>
          <w:rFonts w:eastAsia="Calibri" w:cs="Times New Roman"/>
        </w:rPr>
        <w:t>começam representando as crianças, essencialmente, por meio do antropomorfismo (</w:t>
      </w:r>
      <w:r w:rsidRPr="004F6395">
        <w:rPr>
          <w:rFonts w:eastAsia="Calibri" w:cs="Times New Roman"/>
          <w:i/>
        </w:rPr>
        <w:t>Os colegas</w:t>
      </w:r>
      <w:r w:rsidRPr="004F6395">
        <w:rPr>
          <w:rFonts w:eastAsia="Calibri" w:cs="Times New Roman"/>
        </w:rPr>
        <w:t xml:space="preserve">, de 1972; e </w:t>
      </w:r>
      <w:r w:rsidRPr="004F6395">
        <w:rPr>
          <w:rFonts w:eastAsia="Calibri" w:cs="Times New Roman"/>
          <w:i/>
        </w:rPr>
        <w:t>Angélica</w:t>
      </w:r>
      <w:r w:rsidRPr="004F6395">
        <w:rPr>
          <w:rFonts w:eastAsia="Calibri" w:cs="Times New Roman"/>
        </w:rPr>
        <w:t>, de 1975) e depois se voltam para a criança representada por ela própria (</w:t>
      </w:r>
      <w:r w:rsidRPr="004F6395">
        <w:rPr>
          <w:rFonts w:eastAsia="Calibri" w:cs="Times New Roman"/>
          <w:i/>
        </w:rPr>
        <w:t>A bolsa amarela</w:t>
      </w:r>
      <w:r w:rsidRPr="004F6395">
        <w:rPr>
          <w:rFonts w:eastAsia="Calibri" w:cs="Times New Roman"/>
        </w:rPr>
        <w:t xml:space="preserve">, de 1976; </w:t>
      </w:r>
      <w:r w:rsidRPr="004F6395">
        <w:rPr>
          <w:rFonts w:eastAsia="Calibri" w:cs="Times New Roman"/>
          <w:i/>
        </w:rPr>
        <w:t>A casa da madrinha</w:t>
      </w:r>
      <w:r w:rsidRPr="004F6395">
        <w:rPr>
          <w:rFonts w:eastAsia="Calibri" w:cs="Times New Roman"/>
        </w:rPr>
        <w:t xml:space="preserve">, de 1978; e </w:t>
      </w:r>
      <w:r w:rsidRPr="004F6395">
        <w:rPr>
          <w:rFonts w:eastAsia="Calibri" w:cs="Times New Roman"/>
          <w:i/>
        </w:rPr>
        <w:t>Corda bamba</w:t>
      </w:r>
      <w:r w:rsidRPr="004F6395">
        <w:rPr>
          <w:rFonts w:eastAsia="Calibri" w:cs="Times New Roman"/>
        </w:rPr>
        <w:t xml:space="preserve">, de 1979), tratam de temas diversos que foram, e muitos ainda são, excluídos das discussões no universos infantil, como é o caso da separação conjugal, da morte, do abuso, das relações de poder, das questões de gênero, etc. </w:t>
      </w:r>
    </w:p>
    <w:p w:rsidR="004F6395" w:rsidRPr="004F6395" w:rsidRDefault="004F6395" w:rsidP="004F6395">
      <w:pPr>
        <w:ind w:firstLine="851"/>
        <w:rPr>
          <w:rFonts w:eastAsia="Calibri" w:cs="Times New Roman"/>
        </w:rPr>
      </w:pPr>
      <w:r w:rsidRPr="004F6395">
        <w:rPr>
          <w:rFonts w:eastAsia="Calibri" w:cs="Times New Roman"/>
        </w:rPr>
        <w:t>Quanto a isso, podemos perceber que a autora transcende em três pontos muito importantes na literatura infantil</w:t>
      </w:r>
      <w:r w:rsidR="00B94D7D">
        <w:rPr>
          <w:rFonts w:eastAsia="Calibri" w:cs="Times New Roman"/>
        </w:rPr>
        <w:t>,</w:t>
      </w:r>
      <w:r>
        <w:rPr>
          <w:rFonts w:eastAsia="Calibri" w:cs="Times New Roman"/>
        </w:rPr>
        <w:t xml:space="preserve"> </w:t>
      </w:r>
      <w:r w:rsidRPr="004F6395">
        <w:rPr>
          <w:rFonts w:eastAsia="Calibri" w:cs="Times New Roman"/>
        </w:rPr>
        <w:t xml:space="preserve">que até então tinham sido insuficientemente explorados: o primeiro diz respeito às temáticas tratadas nas obras destinadas as crianças; o segundo se insere no campo da representatividade, onde se deixa de ter adultos ou apenas seres antropomorfizados no centro das narrativas e passa-se a ter a </w:t>
      </w:r>
      <w:r w:rsidRPr="004F6395">
        <w:rPr>
          <w:rFonts w:eastAsia="Calibri" w:cs="Times New Roman"/>
        </w:rPr>
        <w:lastRenderedPageBreak/>
        <w:t>criança como foco principal; e o terceiro, uma aglutinação dos dois primeiros, está relacionado a forma como a autora defende os interesses da criança.</w:t>
      </w:r>
    </w:p>
    <w:p w:rsidR="004F6395" w:rsidRPr="004F6395" w:rsidRDefault="004F6395" w:rsidP="004F6395">
      <w:pPr>
        <w:ind w:firstLine="851"/>
        <w:rPr>
          <w:rFonts w:eastAsia="Calibri" w:cs="Times New Roman"/>
        </w:rPr>
      </w:pPr>
      <w:r w:rsidRPr="004F6395">
        <w:rPr>
          <w:rFonts w:eastAsia="Calibri" w:cs="Times New Roman"/>
        </w:rPr>
        <w:t>Por isso, a partir desse trabalho, objetivamos compreender como a representatividade da criança e seus desejos são colocados nas obras de Lygia Bojunga, de que forma ela supera o domínio do adulto escrevendo para crianças e entra no campo do ser infantil e se torna tão parte dele a ponto de descrevê-lo como alguém que, antes de tudo, sabe o que é ser criança, o que se sente e o que lhe é negado diariamente.</w:t>
      </w:r>
    </w:p>
    <w:p w:rsidR="004F6395" w:rsidRPr="004F6395" w:rsidRDefault="004F6395" w:rsidP="004F6395">
      <w:pPr>
        <w:ind w:firstLine="851"/>
        <w:rPr>
          <w:rFonts w:eastAsia="Calibri" w:cs="Times New Roman"/>
        </w:rPr>
      </w:pPr>
      <w:r w:rsidRPr="004F6395">
        <w:rPr>
          <w:rFonts w:eastAsia="Calibri" w:cs="Times New Roman"/>
        </w:rPr>
        <w:t>Sendo assim, trata-se de uma pesquisa bibliográfica, com abordagem qualitativa, por meio do estudo indutivo de algumas das obras da autora supracitada. Bibliográfica porquê se trata de uma pesquisa  que “[...] é desenvolvida com base em material já elaborado [...]” (GIL, 2002, p. 41). Qualitativa, já que não visa a mensuração de dados e resultados quantificáveis, pelo contrário, busca uma contribuição qualificativa aos estudos na área. E, por fim, é um estudo indutivo, tendo em vista que parte de premissas (</w:t>
      </w:r>
      <w:r w:rsidRPr="004F6395">
        <w:rPr>
          <w:rFonts w:eastAsia="Calibri" w:cs="Times New Roman"/>
          <w:i/>
        </w:rPr>
        <w:t>Cf.</w:t>
      </w:r>
      <w:r w:rsidRPr="004F6395">
        <w:rPr>
          <w:rFonts w:eastAsia="Calibri" w:cs="Times New Roman"/>
        </w:rPr>
        <w:t xml:space="preserve"> MARCONI e LAKATOS, 2003) passíveis de serem reorganizadas. </w:t>
      </w:r>
    </w:p>
    <w:p w:rsidR="00237CE0" w:rsidRPr="00237CE0" w:rsidRDefault="004F6395" w:rsidP="00237CE0">
      <w:pPr>
        <w:ind w:firstLine="851"/>
        <w:rPr>
          <w:rFonts w:eastAsia="Calibri" w:cs="Times New Roman"/>
        </w:rPr>
      </w:pPr>
      <w:r w:rsidRPr="004F6395">
        <w:rPr>
          <w:rFonts w:eastAsia="Calibri" w:cs="Times New Roman"/>
        </w:rPr>
        <w:t>Inicialmente fizemos uma retrospectiva da história da autora para, só então</w:t>
      </w:r>
      <w:r w:rsidR="00B94D7D">
        <w:rPr>
          <w:rFonts w:eastAsia="Calibri" w:cs="Times New Roman"/>
        </w:rPr>
        <w:t>,</w:t>
      </w:r>
      <w:r w:rsidRPr="004F6395">
        <w:rPr>
          <w:rFonts w:eastAsia="Calibri" w:cs="Times New Roman"/>
        </w:rPr>
        <w:t xml:space="preserve"> adentrarmos mais afundo na temática desse estudo. Ao final, percebemos que</w:t>
      </w:r>
      <w:r w:rsidR="00237CE0">
        <w:rPr>
          <w:rFonts w:eastAsia="Calibri" w:cs="Times New Roman"/>
        </w:rPr>
        <w:t xml:space="preserve"> </w:t>
      </w:r>
      <w:r w:rsidR="00237CE0" w:rsidRPr="00237CE0">
        <w:rPr>
          <w:rFonts w:eastAsia="Calibri" w:cs="Times New Roman"/>
        </w:rPr>
        <w:t xml:space="preserve">Lygia Bojunga </w:t>
      </w:r>
      <w:r w:rsidR="00237CE0">
        <w:rPr>
          <w:rFonts w:eastAsia="Calibri" w:cs="Times New Roman"/>
        </w:rPr>
        <w:t>tem</w:t>
      </w:r>
      <w:r w:rsidR="00237CE0" w:rsidRPr="00237CE0">
        <w:rPr>
          <w:rFonts w:eastAsia="Calibri" w:cs="Times New Roman"/>
        </w:rPr>
        <w:t xml:space="preserve"> um estilo </w:t>
      </w:r>
      <w:r w:rsidR="00237CE0">
        <w:rPr>
          <w:rFonts w:eastAsia="Calibri" w:cs="Times New Roman"/>
        </w:rPr>
        <w:t>único de</w:t>
      </w:r>
      <w:r w:rsidR="00237CE0" w:rsidRPr="00237CE0">
        <w:rPr>
          <w:rFonts w:eastAsia="Calibri" w:cs="Times New Roman"/>
        </w:rPr>
        <w:t xml:space="preserve"> </w:t>
      </w:r>
      <w:r w:rsidR="00237CE0">
        <w:rPr>
          <w:rFonts w:eastAsia="Calibri" w:cs="Times New Roman"/>
        </w:rPr>
        <w:t xml:space="preserve">representar </w:t>
      </w:r>
      <w:r w:rsidR="00237CE0" w:rsidRPr="00237CE0">
        <w:rPr>
          <w:rFonts w:eastAsia="Calibri" w:cs="Times New Roman"/>
        </w:rPr>
        <w:t>se</w:t>
      </w:r>
      <w:r w:rsidR="00237CE0">
        <w:rPr>
          <w:rFonts w:eastAsia="Calibri" w:cs="Times New Roman"/>
        </w:rPr>
        <w:t xml:space="preserve">u público </w:t>
      </w:r>
      <w:r w:rsidR="00237CE0" w:rsidRPr="00237CE0">
        <w:rPr>
          <w:rFonts w:eastAsia="Calibri" w:cs="Times New Roman"/>
        </w:rPr>
        <w:t>e escrever seus livros</w:t>
      </w:r>
      <w:r w:rsidR="00237CE0">
        <w:rPr>
          <w:rFonts w:eastAsia="Calibri" w:cs="Times New Roman"/>
        </w:rPr>
        <w:t xml:space="preserve">, além de trazer à tona muitas das </w:t>
      </w:r>
      <w:r w:rsidR="00237CE0" w:rsidRPr="00237CE0">
        <w:rPr>
          <w:rFonts w:eastAsia="Calibri" w:cs="Times New Roman"/>
        </w:rPr>
        <w:t>problemática</w:t>
      </w:r>
      <w:r w:rsidR="00237CE0">
        <w:rPr>
          <w:rFonts w:eastAsia="Calibri" w:cs="Times New Roman"/>
        </w:rPr>
        <w:t>s</w:t>
      </w:r>
      <w:r w:rsidR="00237CE0" w:rsidRPr="00237CE0">
        <w:rPr>
          <w:rFonts w:eastAsia="Calibri" w:cs="Times New Roman"/>
        </w:rPr>
        <w:t xml:space="preserve"> relacionadas as crianças, </w:t>
      </w:r>
      <w:r w:rsidR="00237CE0">
        <w:rPr>
          <w:rFonts w:eastAsia="Calibri" w:cs="Times New Roman"/>
        </w:rPr>
        <w:t>que são omitidas e excluídas do seu universo</w:t>
      </w:r>
      <w:r w:rsidR="00577DD1">
        <w:rPr>
          <w:rFonts w:eastAsia="Calibri" w:cs="Times New Roman"/>
        </w:rPr>
        <w:t xml:space="preserve">. </w:t>
      </w:r>
      <w:r w:rsidR="00AF4360">
        <w:rPr>
          <w:rFonts w:eastAsia="Calibri" w:cs="Times New Roman"/>
        </w:rPr>
        <w:t>Em síntese, as</w:t>
      </w:r>
      <w:r w:rsidR="00577DD1">
        <w:rPr>
          <w:rFonts w:eastAsia="Calibri" w:cs="Times New Roman"/>
        </w:rPr>
        <w:t xml:space="preserve"> crianças de seus livros são livres, ou estão em busca de liberdade e de espaço, na criação de um universo de equilíbrio e harmonia entre todos.</w:t>
      </w:r>
    </w:p>
    <w:p w:rsidR="004F6395" w:rsidRPr="004F6395" w:rsidRDefault="004F6395" w:rsidP="004F6395">
      <w:pPr>
        <w:ind w:firstLine="851"/>
        <w:rPr>
          <w:rFonts w:eastAsia="Calibri" w:cs="Times New Roman"/>
        </w:rPr>
      </w:pPr>
    </w:p>
    <w:p w:rsidR="004F6395" w:rsidRPr="004F6395" w:rsidRDefault="004F6395" w:rsidP="004F6395">
      <w:pPr>
        <w:ind w:firstLine="0"/>
        <w:rPr>
          <w:rFonts w:eastAsia="Calibri" w:cs="Times New Roman"/>
          <w:b/>
          <w:i/>
        </w:rPr>
      </w:pPr>
      <w:bookmarkStart w:id="3" w:name="_Toc484185671"/>
      <w:r w:rsidRPr="004F6395">
        <w:rPr>
          <w:rFonts w:eastAsia="Calibri" w:cs="Times New Roman"/>
          <w:b/>
        </w:rPr>
        <w:t>A AUTORA-CONSERTO: A MULHER POR TRÁS DA OBRA</w:t>
      </w:r>
      <w:bookmarkEnd w:id="3"/>
    </w:p>
    <w:p w:rsidR="004F6395" w:rsidRPr="004F6395" w:rsidRDefault="004F6395" w:rsidP="004F6395">
      <w:pPr>
        <w:ind w:firstLine="851"/>
        <w:rPr>
          <w:rFonts w:eastAsia="Calibri" w:cs="Times New Roman"/>
        </w:rPr>
      </w:pPr>
    </w:p>
    <w:p w:rsidR="004F6395" w:rsidRPr="004F6395" w:rsidRDefault="004F6395" w:rsidP="004F6395">
      <w:pPr>
        <w:ind w:firstLine="851"/>
        <w:rPr>
          <w:rFonts w:eastAsia="Calibri" w:cs="Times New Roman"/>
          <w:color w:val="000000"/>
        </w:rPr>
      </w:pPr>
      <w:r w:rsidRPr="004F6395">
        <w:rPr>
          <w:rFonts w:eastAsia="Calibri" w:cs="Times New Roman"/>
        </w:rPr>
        <w:t xml:space="preserve">Lygia Bojunga Nunes nasceu em Pelotas, no Rio Grande do Sul, em 29 de agosto de 1932. Mudou-se para o Rio de Janeiro com a família quando tinha oito anos de idade, onde já em 1951, aos dezenove anos, começou a trabalhar como </w:t>
      </w:r>
      <w:r w:rsidRPr="004F6395">
        <w:rPr>
          <w:rFonts w:eastAsia="Calibri" w:cs="Times New Roman"/>
          <w:color w:val="000000"/>
        </w:rPr>
        <w:t xml:space="preserve">atriz na </w:t>
      </w:r>
      <w:r w:rsidRPr="004F6395">
        <w:rPr>
          <w:rFonts w:eastAsia="Calibri" w:cs="Times New Roman"/>
        </w:rPr>
        <w:t>Companhia de Teatro “Os Artistas Unidos”,</w:t>
      </w:r>
      <w:r w:rsidRPr="004F6395">
        <w:rPr>
          <w:rFonts w:eastAsia="Calibri" w:cs="Times New Roman"/>
          <w:color w:val="000000"/>
        </w:rPr>
        <w:t xml:space="preserve"> que viajava pelo Brasil afora. Foi nessas viagens que a escritora presenciou o grande índice de analfabetismo que assolava o nosso país, o que a levou, posteriormente, a fundar e dirigir por cinco anos, j</w:t>
      </w:r>
      <w:r w:rsidRPr="004F6395">
        <w:rPr>
          <w:rFonts w:eastAsia="Calibri" w:cs="Times New Roman"/>
        </w:rPr>
        <w:t>untamente com o seu marido, uma escola rural, chamada “Toca”, para crianças carentes</w:t>
      </w:r>
      <w:r w:rsidRPr="004F6395">
        <w:rPr>
          <w:rFonts w:eastAsia="Calibri" w:cs="Times New Roman"/>
          <w:color w:val="000000"/>
        </w:rPr>
        <w:t xml:space="preserve">. </w:t>
      </w:r>
      <w:r w:rsidRPr="004F6395">
        <w:rPr>
          <w:rFonts w:eastAsia="Calibri" w:cs="Times New Roman"/>
        </w:rPr>
        <w:t>Lygia casou-se duas vezes e, com o seu segundo marido, mudou-se para a Inglaterra em 1982, vivendo, por muito tempo, alternadamente entre o Brasil e a Inglaterra.</w:t>
      </w:r>
    </w:p>
    <w:p w:rsidR="004F6395" w:rsidRPr="004F6395" w:rsidRDefault="004F6395" w:rsidP="004F6395">
      <w:pPr>
        <w:ind w:firstLine="851"/>
        <w:rPr>
          <w:rFonts w:eastAsia="Calibri" w:cs="Times New Roman"/>
        </w:rPr>
      </w:pPr>
      <w:r w:rsidRPr="004F6395">
        <w:rPr>
          <w:rFonts w:eastAsia="Calibri" w:cs="Times New Roman"/>
          <w:color w:val="000000"/>
        </w:rPr>
        <w:lastRenderedPageBreak/>
        <w:t>Durante muito tempo Lygia Bojunga atuou no rádio e na televisão, antes de se dedicar a escrita, em 1972, e tornar-se mundialmente conhecida, aclamada e premiada</w:t>
      </w:r>
      <w:r w:rsidRPr="004F6395">
        <w:rPr>
          <w:rFonts w:eastAsia="Calibri" w:cs="Times New Roman"/>
        </w:rPr>
        <w:t xml:space="preserve">. Dentre as principais premiações da escritora destaca-se o Prêmio Jabuti, recebido em 1973, o prêmio Hans Christian Andersen, recebido em 1982, o Prêmio da literatura </w:t>
      </w:r>
      <w:proofErr w:type="spellStart"/>
      <w:r w:rsidRPr="004F6395">
        <w:rPr>
          <w:rFonts w:eastAsia="Calibri" w:cs="Times New Roman"/>
        </w:rPr>
        <w:t>Ratternfanger</w:t>
      </w:r>
      <w:proofErr w:type="spellEnd"/>
      <w:r w:rsidRPr="004F6395">
        <w:rPr>
          <w:rFonts w:eastAsia="Calibri" w:cs="Times New Roman"/>
        </w:rPr>
        <w:t xml:space="preserve">, recebido em 1986, e o prêmio ALMA (Astrid </w:t>
      </w:r>
      <w:proofErr w:type="spellStart"/>
      <w:r w:rsidRPr="004F6395">
        <w:rPr>
          <w:rFonts w:eastAsia="Calibri" w:cs="Times New Roman"/>
        </w:rPr>
        <w:t>Lindgren</w:t>
      </w:r>
      <w:proofErr w:type="spellEnd"/>
      <w:r w:rsidRPr="004F6395">
        <w:rPr>
          <w:rFonts w:eastAsia="Calibri" w:cs="Times New Roman"/>
        </w:rPr>
        <w:t xml:space="preserve"> Memorial </w:t>
      </w:r>
      <w:proofErr w:type="spellStart"/>
      <w:r w:rsidRPr="004F6395">
        <w:rPr>
          <w:rFonts w:eastAsia="Calibri" w:cs="Times New Roman"/>
        </w:rPr>
        <w:t>Award</w:t>
      </w:r>
      <w:proofErr w:type="spellEnd"/>
      <w:r w:rsidRPr="004F6395">
        <w:rPr>
          <w:rFonts w:eastAsia="Calibri" w:cs="Times New Roman"/>
        </w:rPr>
        <w:t>) da Princesa Victoria, da Suécia, recebido em 26 de maio de 2004.  Em pouco mais de 10 anos, Lygia Bojunga foi a primeira escritora, fora dos Estados Unidos e Europa, a receber um dos mais importantes prêmios internacionais da literatura infanto-juvenil, o prêmio Hans Christian Andersen, sem contar que, no Brasil, a maioria dos seus livros foram premiados, até por mais de uma vez.</w:t>
      </w:r>
    </w:p>
    <w:p w:rsidR="004F6395" w:rsidRPr="004F6395" w:rsidRDefault="004F6395" w:rsidP="004F6395">
      <w:pPr>
        <w:ind w:firstLine="851"/>
        <w:rPr>
          <w:rFonts w:eastAsia="Calibri" w:cs="Times New Roman"/>
        </w:rPr>
      </w:pPr>
      <w:r w:rsidRPr="004F6395">
        <w:rPr>
          <w:rFonts w:eastAsia="Calibri" w:cs="Times New Roman"/>
        </w:rPr>
        <w:t xml:space="preserve">Atualmente, a escritora vive no Rio de Janeiro e atua na sua própria editora, a “Casa Lygia Bojunga”, fundada em 2002, onde resgata e publica exclusivamente seus livros, no intuito de ter um maior controle de todas as etapas de produção de seus livros e do caminho que eles percorrem até chegar aos seus leitores. Ela ainda é responsável pela Fundação Cultural Casa Lygia Bojunga, no Rio de Janeiro, onde, desde 2004, desenvolve projetos socioeducativos voltados para o estímulo da leitura para crianças e jovens. </w:t>
      </w:r>
    </w:p>
    <w:p w:rsidR="004F6395" w:rsidRPr="004F6395" w:rsidRDefault="004F6395" w:rsidP="004F6395">
      <w:pPr>
        <w:ind w:firstLine="851"/>
        <w:rPr>
          <w:rFonts w:eastAsia="Calibri" w:cs="Times New Roman"/>
        </w:rPr>
      </w:pPr>
      <w:r w:rsidRPr="004F6395">
        <w:rPr>
          <w:rFonts w:eastAsia="Calibri" w:cs="Times New Roman"/>
        </w:rPr>
        <w:t xml:space="preserve">De 1972 para os dias atuais a escritora já escreveu mais de vinte livros: </w:t>
      </w:r>
      <w:r w:rsidRPr="004F6395">
        <w:rPr>
          <w:rFonts w:eastAsia="Calibri" w:cs="Times New Roman"/>
          <w:i/>
        </w:rPr>
        <w:t>Os Colegas</w:t>
      </w:r>
      <w:r w:rsidRPr="004F6395">
        <w:rPr>
          <w:rFonts w:eastAsia="Calibri" w:cs="Times New Roman"/>
        </w:rPr>
        <w:t xml:space="preserve">, de 1972; </w:t>
      </w:r>
      <w:r w:rsidRPr="004F6395">
        <w:rPr>
          <w:rFonts w:eastAsia="Calibri" w:cs="Times New Roman"/>
          <w:i/>
        </w:rPr>
        <w:t>Angélica</w:t>
      </w:r>
      <w:r w:rsidRPr="004F6395">
        <w:rPr>
          <w:rFonts w:eastAsia="Calibri" w:cs="Times New Roman"/>
        </w:rPr>
        <w:t xml:space="preserve">, de 1975; </w:t>
      </w:r>
      <w:r w:rsidRPr="004F6395">
        <w:rPr>
          <w:rFonts w:eastAsia="Calibri" w:cs="Times New Roman"/>
          <w:i/>
        </w:rPr>
        <w:t>A Bolsa Amarela</w:t>
      </w:r>
      <w:r w:rsidRPr="004F6395">
        <w:rPr>
          <w:rFonts w:eastAsia="Calibri" w:cs="Times New Roman"/>
        </w:rPr>
        <w:t xml:space="preserve">, de 1976; </w:t>
      </w:r>
      <w:r w:rsidRPr="004F6395">
        <w:rPr>
          <w:rFonts w:eastAsia="Calibri" w:cs="Times New Roman"/>
          <w:i/>
        </w:rPr>
        <w:t>A Casa da Madrinha</w:t>
      </w:r>
      <w:r w:rsidRPr="004F6395">
        <w:rPr>
          <w:rFonts w:eastAsia="Calibri" w:cs="Times New Roman"/>
        </w:rPr>
        <w:t xml:space="preserve">, de 1978; </w:t>
      </w:r>
      <w:r w:rsidRPr="004F6395">
        <w:rPr>
          <w:rFonts w:eastAsia="Calibri" w:cs="Times New Roman"/>
          <w:i/>
        </w:rPr>
        <w:t>Corda Bamba</w:t>
      </w:r>
      <w:r w:rsidRPr="004F6395">
        <w:rPr>
          <w:rFonts w:eastAsia="Calibri" w:cs="Times New Roman"/>
        </w:rPr>
        <w:t xml:space="preserve">, de 1979; </w:t>
      </w:r>
      <w:r w:rsidRPr="004F6395">
        <w:rPr>
          <w:rFonts w:eastAsia="Calibri" w:cs="Times New Roman"/>
          <w:i/>
        </w:rPr>
        <w:t>O Sofá Estampado</w:t>
      </w:r>
      <w:r w:rsidRPr="004F6395">
        <w:rPr>
          <w:rFonts w:eastAsia="Calibri" w:cs="Times New Roman"/>
        </w:rPr>
        <w:t xml:space="preserve">, de 1980; </w:t>
      </w:r>
      <w:r w:rsidRPr="004F6395">
        <w:rPr>
          <w:rFonts w:eastAsia="Calibri" w:cs="Times New Roman"/>
          <w:i/>
        </w:rPr>
        <w:t>Tchau</w:t>
      </w:r>
      <w:r w:rsidRPr="004F6395">
        <w:rPr>
          <w:rFonts w:eastAsia="Calibri" w:cs="Times New Roman"/>
        </w:rPr>
        <w:t xml:space="preserve">, de 1984; </w:t>
      </w:r>
      <w:r w:rsidRPr="004F6395">
        <w:rPr>
          <w:rFonts w:eastAsia="Calibri" w:cs="Times New Roman"/>
          <w:i/>
        </w:rPr>
        <w:t>O Meu Amigo Pintor</w:t>
      </w:r>
      <w:r w:rsidRPr="004F6395">
        <w:rPr>
          <w:rFonts w:eastAsia="Calibri" w:cs="Times New Roman"/>
        </w:rPr>
        <w:t xml:space="preserve">, de 1987; </w:t>
      </w:r>
      <w:r w:rsidRPr="004F6395">
        <w:rPr>
          <w:rFonts w:eastAsia="Calibri" w:cs="Times New Roman"/>
          <w:i/>
        </w:rPr>
        <w:t>Nós Três</w:t>
      </w:r>
      <w:r w:rsidRPr="004F6395">
        <w:rPr>
          <w:rFonts w:eastAsia="Calibri" w:cs="Times New Roman"/>
        </w:rPr>
        <w:t xml:space="preserve">, de 1987; </w:t>
      </w:r>
      <w:r w:rsidRPr="004F6395">
        <w:rPr>
          <w:rFonts w:eastAsia="Calibri" w:cs="Times New Roman"/>
          <w:i/>
        </w:rPr>
        <w:t>Livro, um Encontro</w:t>
      </w:r>
      <w:r w:rsidRPr="004F6395">
        <w:rPr>
          <w:rFonts w:eastAsia="Calibri" w:cs="Times New Roman"/>
        </w:rPr>
        <w:t xml:space="preserve">, de 1988; </w:t>
      </w:r>
      <w:r w:rsidRPr="004F6395">
        <w:rPr>
          <w:rFonts w:eastAsia="Calibri" w:cs="Times New Roman"/>
          <w:i/>
        </w:rPr>
        <w:t>Fazendo Ana Paz</w:t>
      </w:r>
      <w:r w:rsidRPr="004F6395">
        <w:rPr>
          <w:rFonts w:eastAsia="Calibri" w:cs="Times New Roman"/>
        </w:rPr>
        <w:t xml:space="preserve">, de 1991; </w:t>
      </w:r>
      <w:r w:rsidRPr="004F6395">
        <w:rPr>
          <w:rFonts w:eastAsia="Calibri" w:cs="Times New Roman"/>
          <w:i/>
        </w:rPr>
        <w:t>Paisagem</w:t>
      </w:r>
      <w:r w:rsidRPr="004F6395">
        <w:rPr>
          <w:rFonts w:eastAsia="Calibri" w:cs="Times New Roman"/>
        </w:rPr>
        <w:t xml:space="preserve">, de 1992; </w:t>
      </w:r>
      <w:r w:rsidRPr="004F6395">
        <w:rPr>
          <w:rFonts w:eastAsia="Calibri" w:cs="Times New Roman"/>
          <w:i/>
        </w:rPr>
        <w:t>Seis Vezes Lucas</w:t>
      </w:r>
      <w:r w:rsidRPr="004F6395">
        <w:rPr>
          <w:rFonts w:eastAsia="Calibri" w:cs="Times New Roman"/>
        </w:rPr>
        <w:t xml:space="preserve">, de 1995; </w:t>
      </w:r>
      <w:r w:rsidRPr="004F6395">
        <w:rPr>
          <w:rFonts w:eastAsia="Calibri" w:cs="Times New Roman"/>
          <w:i/>
        </w:rPr>
        <w:t>O Abraço</w:t>
      </w:r>
      <w:r w:rsidRPr="004F6395">
        <w:rPr>
          <w:rFonts w:eastAsia="Calibri" w:cs="Times New Roman"/>
        </w:rPr>
        <w:t xml:space="preserve">, de 1995; </w:t>
      </w:r>
      <w:r w:rsidRPr="004F6395">
        <w:rPr>
          <w:rFonts w:eastAsia="Calibri" w:cs="Times New Roman"/>
          <w:i/>
        </w:rPr>
        <w:t>Feito à Mão</w:t>
      </w:r>
      <w:r w:rsidRPr="004F6395">
        <w:rPr>
          <w:rFonts w:eastAsia="Calibri" w:cs="Times New Roman"/>
        </w:rPr>
        <w:t xml:space="preserve">, de 1996; </w:t>
      </w:r>
      <w:r w:rsidRPr="004F6395">
        <w:rPr>
          <w:rFonts w:eastAsia="Calibri" w:cs="Times New Roman"/>
          <w:i/>
        </w:rPr>
        <w:t>A Cama</w:t>
      </w:r>
      <w:r w:rsidRPr="004F6395">
        <w:rPr>
          <w:rFonts w:eastAsia="Calibri" w:cs="Times New Roman"/>
        </w:rPr>
        <w:t xml:space="preserve">, de 1999; </w:t>
      </w:r>
      <w:r w:rsidRPr="004F6395">
        <w:rPr>
          <w:rFonts w:eastAsia="Calibri" w:cs="Times New Roman"/>
          <w:i/>
        </w:rPr>
        <w:t>O Rio e Eu</w:t>
      </w:r>
      <w:r w:rsidRPr="004F6395">
        <w:rPr>
          <w:rFonts w:eastAsia="Calibri" w:cs="Times New Roman"/>
        </w:rPr>
        <w:t xml:space="preserve">, de 1999; </w:t>
      </w:r>
      <w:r w:rsidRPr="004F6395">
        <w:rPr>
          <w:rFonts w:eastAsia="Calibri" w:cs="Times New Roman"/>
          <w:i/>
        </w:rPr>
        <w:t>Retratos de Carolina</w:t>
      </w:r>
      <w:r w:rsidRPr="004F6395">
        <w:rPr>
          <w:rFonts w:eastAsia="Calibri" w:cs="Times New Roman"/>
        </w:rPr>
        <w:t xml:space="preserve">, de 2002; </w:t>
      </w:r>
      <w:r w:rsidRPr="004F6395">
        <w:rPr>
          <w:rFonts w:eastAsia="Calibri" w:cs="Times New Roman"/>
          <w:i/>
        </w:rPr>
        <w:t>Aula de Inglês</w:t>
      </w:r>
      <w:r w:rsidRPr="004F6395">
        <w:rPr>
          <w:rFonts w:eastAsia="Calibri" w:cs="Times New Roman"/>
        </w:rPr>
        <w:t xml:space="preserve">, de 2006; </w:t>
      </w:r>
      <w:r w:rsidRPr="004F6395">
        <w:rPr>
          <w:rFonts w:eastAsia="Calibri" w:cs="Times New Roman"/>
          <w:i/>
        </w:rPr>
        <w:t>Sapato de Salto</w:t>
      </w:r>
      <w:r w:rsidRPr="004F6395">
        <w:rPr>
          <w:rFonts w:eastAsia="Calibri" w:cs="Times New Roman"/>
        </w:rPr>
        <w:t xml:space="preserve">, de 2006; </w:t>
      </w:r>
      <w:r w:rsidRPr="004F6395">
        <w:rPr>
          <w:rFonts w:eastAsia="Calibri" w:cs="Times New Roman"/>
          <w:i/>
        </w:rPr>
        <w:t>Dos Vinte 1</w:t>
      </w:r>
      <w:r w:rsidRPr="004F6395">
        <w:rPr>
          <w:rFonts w:eastAsia="Calibri" w:cs="Times New Roman"/>
        </w:rPr>
        <w:t xml:space="preserve">, de 2007; e </w:t>
      </w:r>
      <w:r w:rsidRPr="004F6395">
        <w:rPr>
          <w:rFonts w:eastAsia="Calibri" w:cs="Times New Roman"/>
          <w:i/>
        </w:rPr>
        <w:t>Querida</w:t>
      </w:r>
      <w:r w:rsidRPr="004F6395">
        <w:rPr>
          <w:rFonts w:eastAsia="Calibri" w:cs="Times New Roman"/>
        </w:rPr>
        <w:t xml:space="preserve">, de 2009. </w:t>
      </w:r>
    </w:p>
    <w:p w:rsidR="004F6395" w:rsidRPr="004F6395" w:rsidRDefault="004F6395" w:rsidP="004F6395">
      <w:pPr>
        <w:ind w:firstLine="851"/>
        <w:rPr>
          <w:rFonts w:eastAsia="Calibri" w:cs="Times New Roman"/>
        </w:rPr>
      </w:pPr>
      <w:r w:rsidRPr="004F6395">
        <w:rPr>
          <w:rFonts w:eastAsia="Calibri" w:cs="Times New Roman"/>
        </w:rPr>
        <w:t xml:space="preserve">Suas obras foram traduzidas para mais de 15 idiomas, dentre eles o francês, alemão, espanhol, norueguês, sueco, hebraico, italiano, búlgaro, checo e irlandês, além de serem adaptados e encenados em teatros do Brasil, Alemanha, Bélgica, Suécia e Holanda, como é o caso de </w:t>
      </w:r>
      <w:r w:rsidRPr="004F6395">
        <w:rPr>
          <w:rFonts w:eastAsia="Calibri" w:cs="Times New Roman"/>
          <w:i/>
        </w:rPr>
        <w:t>Corda Bamba</w:t>
      </w:r>
      <w:r w:rsidRPr="004F6395">
        <w:rPr>
          <w:rFonts w:eastAsia="Calibri" w:cs="Times New Roman"/>
        </w:rPr>
        <w:t xml:space="preserve"> (1979) que virou peça e, posteriormente, foi filmado e transformado em filme pela TV sueca, em 1979. </w:t>
      </w:r>
    </w:p>
    <w:p w:rsidR="004F6395" w:rsidRPr="004F6395" w:rsidRDefault="004F6395" w:rsidP="004F6395">
      <w:pPr>
        <w:ind w:firstLine="851"/>
        <w:rPr>
          <w:rFonts w:eastAsia="Calibri" w:cs="Times New Roman"/>
        </w:rPr>
      </w:pPr>
      <w:r w:rsidRPr="004F6395">
        <w:rPr>
          <w:rFonts w:eastAsia="Calibri" w:cs="Times New Roman"/>
        </w:rPr>
        <w:t xml:space="preserve">De todas as suas obras, uma das mais conhecidas é </w:t>
      </w:r>
      <w:r w:rsidRPr="004F6395">
        <w:rPr>
          <w:rFonts w:eastAsia="Calibri" w:cs="Times New Roman"/>
          <w:i/>
        </w:rPr>
        <w:t xml:space="preserve">A Bolsa Amarela </w:t>
      </w:r>
      <w:r w:rsidRPr="004F6395">
        <w:rPr>
          <w:rFonts w:eastAsia="Calibri" w:cs="Times New Roman"/>
        </w:rPr>
        <w:t xml:space="preserve">(2007). Esse livro nos mostra o que ela sabe fazer de melhor, que é a transgressão dos limites entre fantasia e realidade, para representar os interesses da criança. Graças a isso, ela é comumente lembrada como sucessora de Monteiro Lobato, justamente por engendrar </w:t>
      </w:r>
      <w:r w:rsidRPr="004F6395">
        <w:rPr>
          <w:rFonts w:eastAsia="Calibri" w:cs="Times New Roman"/>
        </w:rPr>
        <w:lastRenderedPageBreak/>
        <w:t xml:space="preserve">espaços onde a criança tem a chave, na imaginação ou na realidade, para a resolução de seus conflitos, através da liberdade, da imaginação, da fantasia, do maravilhoso. </w:t>
      </w:r>
    </w:p>
    <w:p w:rsidR="004F6395" w:rsidRPr="004F6395" w:rsidRDefault="004F6395" w:rsidP="004F6395">
      <w:pPr>
        <w:ind w:firstLine="851"/>
        <w:rPr>
          <w:rFonts w:eastAsia="Calibri" w:cs="Times New Roman"/>
        </w:rPr>
      </w:pPr>
    </w:p>
    <w:p w:rsidR="004F6395" w:rsidRPr="004F6395" w:rsidRDefault="004F6395" w:rsidP="004F6395">
      <w:pPr>
        <w:ind w:firstLine="0"/>
        <w:rPr>
          <w:rFonts w:eastAsia="Calibri" w:cs="Times New Roman"/>
          <w:b/>
        </w:rPr>
      </w:pPr>
      <w:r w:rsidRPr="004F6395">
        <w:rPr>
          <w:rFonts w:eastAsia="Calibri" w:cs="Times New Roman"/>
          <w:b/>
        </w:rPr>
        <w:t xml:space="preserve">A INFÂNCIA AOS OLHOS DE LYGIA: DA REPRESENTATIVIDADE A DEFESA DOS DIREITOS </w:t>
      </w:r>
    </w:p>
    <w:p w:rsidR="004F6395" w:rsidRPr="004F6395" w:rsidRDefault="004F6395" w:rsidP="004F6395">
      <w:pPr>
        <w:ind w:firstLine="0"/>
        <w:rPr>
          <w:rFonts w:eastAsia="Calibri" w:cs="Times New Roman"/>
          <w:b/>
        </w:rPr>
      </w:pPr>
    </w:p>
    <w:p w:rsidR="004F6395" w:rsidRPr="004F6395" w:rsidRDefault="004F6395" w:rsidP="004F6395">
      <w:pPr>
        <w:ind w:firstLine="851"/>
        <w:rPr>
          <w:rFonts w:eastAsia="Calibri" w:cs="Times New Roman"/>
        </w:rPr>
      </w:pPr>
      <w:bookmarkStart w:id="4" w:name="_Hlk483228922"/>
      <w:r w:rsidRPr="004F6395">
        <w:rPr>
          <w:rFonts w:eastAsia="Calibri" w:cs="Times New Roman"/>
        </w:rPr>
        <w:t>As obras de Lygia Bojunga trazem diversos temas que são negados cotidianamente as crianças. A transversalidade de conteúdo em suas obras mostra o quanto a escritora toma partido dos problemas e anseios das crianças, além de enriquecer e particularizar suas obras. É o que afirma Pires, pois,</w:t>
      </w:r>
    </w:p>
    <w:p w:rsidR="004F6395" w:rsidRPr="004F6395" w:rsidRDefault="004F6395" w:rsidP="004F6395">
      <w:pPr>
        <w:ind w:firstLine="851"/>
        <w:jc w:val="center"/>
        <w:rPr>
          <w:rFonts w:eastAsia="Calibri" w:cs="Times New Roman"/>
        </w:rPr>
      </w:pPr>
    </w:p>
    <w:p w:rsidR="004F6395" w:rsidRPr="004F6395" w:rsidRDefault="004F6395" w:rsidP="004F6395">
      <w:pPr>
        <w:spacing w:line="240" w:lineRule="auto"/>
        <w:ind w:left="2268" w:firstLine="0"/>
        <w:rPr>
          <w:rFonts w:eastAsia="Calibri" w:cs="Times New Roman"/>
          <w:sz w:val="22"/>
        </w:rPr>
      </w:pPr>
      <w:r w:rsidRPr="004F6395">
        <w:rPr>
          <w:rFonts w:eastAsia="Calibri" w:cs="Times New Roman"/>
          <w:sz w:val="22"/>
        </w:rPr>
        <w:t xml:space="preserve">[...] além de diferenciar-se de muitos autores pela forma de escrever, por sua capacidade de unir o real e o fantástico como ferramenta de criação, a autora também se salienta pelo conteúdo de suas obras, pois trata de temas que, apesar de fazerem parte do universo infantil, não são discutidos com as crianças. Por entender que é indispensável ao leitor infantil refletir sobre a vida, a autora aborda, em suas narrativas, problemas reais que fazem parte do processo de crescimento [...] </w:t>
      </w:r>
      <w:bookmarkStart w:id="5" w:name="_Hlk483228995"/>
      <w:r w:rsidRPr="004F6395">
        <w:rPr>
          <w:rFonts w:eastAsia="Calibri" w:cs="Times New Roman"/>
          <w:sz w:val="22"/>
        </w:rPr>
        <w:t xml:space="preserve">(PIRES, 2013, </w:t>
      </w:r>
      <w:bookmarkEnd w:id="5"/>
      <w:r w:rsidRPr="004F6395">
        <w:rPr>
          <w:rFonts w:eastAsia="Calibri" w:cs="Times New Roman"/>
          <w:sz w:val="22"/>
        </w:rPr>
        <w:t>p. 47-48).</w:t>
      </w:r>
    </w:p>
    <w:p w:rsidR="004F6395" w:rsidRPr="004F6395" w:rsidRDefault="004F6395" w:rsidP="004F6395">
      <w:pPr>
        <w:ind w:firstLine="851"/>
        <w:rPr>
          <w:rFonts w:eastAsia="Calibri" w:cs="Times New Roman"/>
        </w:rPr>
      </w:pPr>
    </w:p>
    <w:p w:rsidR="004F6395" w:rsidRPr="004F6395" w:rsidRDefault="004F6395" w:rsidP="004F6395">
      <w:pPr>
        <w:ind w:firstLine="851"/>
        <w:rPr>
          <w:rFonts w:eastAsia="Calibri" w:cs="Times New Roman"/>
        </w:rPr>
      </w:pPr>
      <w:r w:rsidRPr="004F6395">
        <w:rPr>
          <w:rFonts w:eastAsia="Calibri" w:cs="Times New Roman"/>
        </w:rPr>
        <w:t xml:space="preserve">Um desses assuntos é a forma como Lygia Bojunga desenha as mulheres em seus textos. Analisando as suas obras temos, de um lado: Raquel, de </w:t>
      </w:r>
      <w:r w:rsidRPr="004F6395">
        <w:rPr>
          <w:rFonts w:eastAsia="Calibri" w:cs="Times New Roman"/>
          <w:i/>
        </w:rPr>
        <w:t>A bolsa Amarela</w:t>
      </w:r>
      <w:r w:rsidRPr="004F6395">
        <w:rPr>
          <w:rFonts w:eastAsia="Calibri" w:cs="Times New Roman"/>
        </w:rPr>
        <w:t xml:space="preserve"> (2007), que é uma menina que não se aceita como tal porquê os papeis que lhe são apresentados como “coisas de menina” não à encantam; Angélica, de </w:t>
      </w:r>
      <w:r w:rsidRPr="004F6395">
        <w:rPr>
          <w:rFonts w:eastAsia="Calibri" w:cs="Times New Roman"/>
          <w:i/>
        </w:rPr>
        <w:t>Angélica</w:t>
      </w:r>
      <w:r w:rsidRPr="004F6395">
        <w:rPr>
          <w:rFonts w:eastAsia="Calibri" w:cs="Times New Roman"/>
        </w:rPr>
        <w:t xml:space="preserve"> (2004), que é uma cegonha que nega sua “tradição” e decide ser independe, construir seu próprio caminho; e a Vó do Vítor, de </w:t>
      </w:r>
      <w:bookmarkStart w:id="6" w:name="_Hlk525581172"/>
      <w:r w:rsidRPr="004F6395">
        <w:rPr>
          <w:rFonts w:eastAsia="Calibri" w:cs="Times New Roman"/>
          <w:i/>
        </w:rPr>
        <w:t>O sofá estampado</w:t>
      </w:r>
      <w:r w:rsidRPr="004F6395">
        <w:rPr>
          <w:rFonts w:eastAsia="Calibri" w:cs="Times New Roman"/>
        </w:rPr>
        <w:t xml:space="preserve"> (2015)</w:t>
      </w:r>
      <w:bookmarkEnd w:id="6"/>
      <w:r w:rsidRPr="004F6395">
        <w:rPr>
          <w:rFonts w:eastAsia="Calibri" w:cs="Times New Roman"/>
        </w:rPr>
        <w:t>, que é uma senhora independente que viaja, trabalha e estuda.</w:t>
      </w:r>
    </w:p>
    <w:p w:rsidR="004F6395" w:rsidRPr="004F6395" w:rsidRDefault="004F6395" w:rsidP="004F6395">
      <w:pPr>
        <w:ind w:firstLine="851"/>
        <w:rPr>
          <w:rFonts w:eastAsia="Calibri" w:cs="Times New Roman"/>
        </w:rPr>
      </w:pPr>
      <w:r w:rsidRPr="004F6395">
        <w:rPr>
          <w:rFonts w:eastAsia="Calibri" w:cs="Times New Roman"/>
        </w:rPr>
        <w:t xml:space="preserve">Em contraposição, por outro lado, temos papeis opostos: a mulher do Jota, </w:t>
      </w:r>
      <w:bookmarkStart w:id="7" w:name="_Hlk525581045"/>
      <w:r w:rsidRPr="004F6395">
        <w:rPr>
          <w:rFonts w:eastAsia="Calibri" w:cs="Times New Roman"/>
        </w:rPr>
        <w:t xml:space="preserve">personagem de </w:t>
      </w:r>
      <w:r w:rsidRPr="004F6395">
        <w:rPr>
          <w:rFonts w:eastAsia="Calibri" w:cs="Times New Roman"/>
          <w:i/>
        </w:rPr>
        <w:t>Angélica</w:t>
      </w:r>
      <w:r w:rsidRPr="004F6395">
        <w:rPr>
          <w:rFonts w:eastAsia="Calibri" w:cs="Times New Roman"/>
        </w:rPr>
        <w:t xml:space="preserve"> (2004)</w:t>
      </w:r>
      <w:bookmarkEnd w:id="7"/>
      <w:r w:rsidRPr="004F6395">
        <w:rPr>
          <w:rFonts w:eastAsia="Calibri" w:cs="Times New Roman"/>
        </w:rPr>
        <w:t xml:space="preserve">, que é reprimida pelo marido durante toda a narrativa e só toma partido de si mesma no final, quando resolve ser ela mesmo, inclusive no nome; Mimi das perucas, mulher do Napoleão Gonçalves, personagens de personagem de </w:t>
      </w:r>
      <w:r w:rsidRPr="004F6395">
        <w:rPr>
          <w:rFonts w:eastAsia="Calibri" w:cs="Times New Roman"/>
          <w:i/>
        </w:rPr>
        <w:t>Angélica</w:t>
      </w:r>
      <w:r w:rsidRPr="004F6395">
        <w:rPr>
          <w:rFonts w:eastAsia="Calibri" w:cs="Times New Roman"/>
        </w:rPr>
        <w:t xml:space="preserve"> (2004), que é dominada pelo consumismo; e Dalva, a gata de </w:t>
      </w:r>
      <w:r w:rsidRPr="004F6395">
        <w:rPr>
          <w:rFonts w:eastAsia="Calibri" w:cs="Times New Roman"/>
          <w:i/>
        </w:rPr>
        <w:t>O sofá estampado</w:t>
      </w:r>
      <w:r w:rsidRPr="004F6395">
        <w:rPr>
          <w:rFonts w:eastAsia="Calibri" w:cs="Times New Roman"/>
        </w:rPr>
        <w:t xml:space="preserve"> (2015), que é superficial até mesmo nas relações e gasta todo o seu tempo vendo TV.</w:t>
      </w:r>
    </w:p>
    <w:p w:rsidR="004F6395" w:rsidRPr="004F6395" w:rsidRDefault="004F6395" w:rsidP="004F6395">
      <w:pPr>
        <w:ind w:firstLine="851"/>
        <w:rPr>
          <w:rFonts w:eastAsia="Calibri" w:cs="Times New Roman"/>
        </w:rPr>
      </w:pPr>
      <w:r w:rsidRPr="004F6395">
        <w:rPr>
          <w:rFonts w:eastAsia="Calibri" w:cs="Times New Roman"/>
        </w:rPr>
        <w:t xml:space="preserve">Há duas representações de mulher: uma ponderada, reflexiva, consciente da sua autonomia e liberdade ou pelo menos em busca disso; e outra reprimida, alienada, irreflexiva e acomoda aos papéis que lhes foram atribuídos. </w:t>
      </w:r>
      <w:proofErr w:type="spellStart"/>
      <w:r w:rsidRPr="004F6395">
        <w:rPr>
          <w:rFonts w:eastAsia="Calibri" w:cs="Times New Roman"/>
        </w:rPr>
        <w:t>Sandroni</w:t>
      </w:r>
      <w:proofErr w:type="spellEnd"/>
      <w:r w:rsidRPr="004F6395">
        <w:rPr>
          <w:rFonts w:eastAsia="Calibri" w:cs="Times New Roman"/>
        </w:rPr>
        <w:t xml:space="preserve"> (2011) afirma que </w:t>
      </w:r>
      <w:r w:rsidRPr="004F6395">
        <w:rPr>
          <w:rFonts w:eastAsia="Calibri" w:cs="Times New Roman"/>
        </w:rPr>
        <w:lastRenderedPageBreak/>
        <w:t>as questões relativas a igualdade de gênero e os conflitos referentes a isso são tratadas de forma sutil e caricatural pela autora.</w:t>
      </w:r>
    </w:p>
    <w:p w:rsidR="004F6395" w:rsidRPr="004F6395" w:rsidRDefault="004F6395" w:rsidP="004F6395">
      <w:pPr>
        <w:ind w:firstLine="851"/>
        <w:rPr>
          <w:rFonts w:eastAsia="Calibri" w:cs="Times New Roman"/>
        </w:rPr>
      </w:pPr>
      <w:r w:rsidRPr="004F6395">
        <w:rPr>
          <w:rFonts w:eastAsia="Calibri" w:cs="Times New Roman"/>
        </w:rPr>
        <w:t xml:space="preserve">A escritora, assim como suas contemporâneas, está estritamente ligada a libertação e empoderamento da mulher, principalmente por meio de suas narrativas. Em </w:t>
      </w:r>
      <w:r w:rsidRPr="004F6395">
        <w:rPr>
          <w:rFonts w:eastAsia="Calibri" w:cs="Times New Roman"/>
          <w:i/>
        </w:rPr>
        <w:t xml:space="preserve">Angélica </w:t>
      </w:r>
      <w:r w:rsidRPr="004F6395">
        <w:rPr>
          <w:rFonts w:eastAsia="Calibri" w:cs="Times New Roman"/>
        </w:rPr>
        <w:t xml:space="preserve">(2004), de acordo com Ando e Silva (2007) “[...] há um questionamento dos papéis sociais tradicionalmente atribuídos ao homem e à mulher” </w:t>
      </w:r>
      <w:bookmarkStart w:id="8" w:name="_Hlk483229017"/>
      <w:r w:rsidRPr="004F6395">
        <w:rPr>
          <w:rFonts w:eastAsia="Calibri" w:cs="Times New Roman"/>
        </w:rPr>
        <w:t xml:space="preserve">(ANDO e SILVA 2007, p. 153). </w:t>
      </w:r>
      <w:bookmarkEnd w:id="8"/>
      <w:r w:rsidRPr="004F6395">
        <w:rPr>
          <w:rFonts w:eastAsia="Calibri" w:cs="Times New Roman"/>
        </w:rPr>
        <w:t xml:space="preserve">Questionamento este que leva ao empoderamento não só da protagonista, </w:t>
      </w:r>
      <w:r w:rsidR="00B94D7D">
        <w:rPr>
          <w:rFonts w:eastAsia="Calibri" w:cs="Times New Roman"/>
        </w:rPr>
        <w:t xml:space="preserve">Angélica, </w:t>
      </w:r>
      <w:r w:rsidRPr="004F6395">
        <w:rPr>
          <w:rFonts w:eastAsia="Calibri" w:cs="Times New Roman"/>
        </w:rPr>
        <w:t>mas também das pessoas a sua volta, como Porto, Jota e Jandira. Isso porquê:</w:t>
      </w:r>
    </w:p>
    <w:p w:rsidR="004F6395" w:rsidRPr="004F6395" w:rsidRDefault="004F6395" w:rsidP="004F6395">
      <w:pPr>
        <w:ind w:firstLine="851"/>
        <w:rPr>
          <w:rFonts w:eastAsia="Calibri" w:cs="Times New Roman"/>
        </w:rPr>
      </w:pPr>
    </w:p>
    <w:p w:rsidR="004F6395" w:rsidRPr="004F6395" w:rsidRDefault="004F6395" w:rsidP="004F6395">
      <w:pPr>
        <w:spacing w:line="240" w:lineRule="auto"/>
        <w:ind w:left="2268" w:firstLine="0"/>
        <w:rPr>
          <w:rFonts w:eastAsia="Calibri" w:cs="Times New Roman"/>
          <w:sz w:val="22"/>
        </w:rPr>
      </w:pPr>
      <w:r w:rsidRPr="004F6395">
        <w:rPr>
          <w:rFonts w:eastAsia="Calibri" w:cs="Times New Roman"/>
          <w:sz w:val="22"/>
        </w:rPr>
        <w:t xml:space="preserve">[...] o texto literário feminista consiste, na verdade, em um texto que apresenta um sujeito de enunciação consciente de seu papel social, ou seja, trata-se da consciência que a autora projeta na voz das personagens ou do narrador, revelando uma postura de embate em relação aos aspectos em que a sociedade a cerceia. </w:t>
      </w:r>
      <w:r w:rsidRPr="004F6395">
        <w:rPr>
          <w:rFonts w:eastAsia="Calibri" w:cs="Times New Roman"/>
        </w:rPr>
        <w:t>(ANDO E SILVA, 2007, p. 153)</w:t>
      </w:r>
    </w:p>
    <w:p w:rsidR="004F6395" w:rsidRPr="004F6395" w:rsidRDefault="004F6395" w:rsidP="004F6395">
      <w:pPr>
        <w:ind w:firstLine="851"/>
        <w:rPr>
          <w:rFonts w:eastAsia="Calibri" w:cs="Times New Roman"/>
        </w:rPr>
      </w:pPr>
    </w:p>
    <w:p w:rsidR="004F6395" w:rsidRPr="004F6395" w:rsidRDefault="004F6395" w:rsidP="004F6395">
      <w:pPr>
        <w:ind w:firstLine="851"/>
        <w:rPr>
          <w:rFonts w:eastAsia="Calibri" w:cs="Times New Roman"/>
        </w:rPr>
      </w:pPr>
      <w:r w:rsidRPr="004F6395">
        <w:rPr>
          <w:rFonts w:eastAsia="Calibri" w:cs="Times New Roman"/>
        </w:rPr>
        <w:t>Ao trazer para suas obras temas como estes, Lygia Bojunga não trata apenas das relações homem-mulher e seus papeis no campo da literatura, seus pressupostos e indagações sobre os modelos e papéis femininos vão muito além disso, inserem-se em espaços de rupturas e quebra de valores, pensamentos e imagens do passado e adentram na sociedade e no mundo infantil.</w:t>
      </w:r>
    </w:p>
    <w:p w:rsidR="004F6395" w:rsidRPr="004F6395" w:rsidRDefault="004F6395" w:rsidP="004F6395">
      <w:pPr>
        <w:ind w:firstLine="851"/>
        <w:rPr>
          <w:rFonts w:eastAsia="Calibri" w:cs="Times New Roman"/>
        </w:rPr>
      </w:pPr>
      <w:r w:rsidRPr="004F6395">
        <w:rPr>
          <w:rFonts w:eastAsia="Calibri" w:cs="Times New Roman"/>
        </w:rPr>
        <w:t xml:space="preserve">Em seus livros ainda há espaço para questionar e refletir sobre os papeis masculinos desenhados pela escritora: Porto, de </w:t>
      </w:r>
      <w:r w:rsidRPr="004F6395">
        <w:rPr>
          <w:rFonts w:eastAsia="Calibri" w:cs="Times New Roman"/>
          <w:i/>
        </w:rPr>
        <w:t xml:space="preserve">Angélica </w:t>
      </w:r>
      <w:r w:rsidRPr="004F6395">
        <w:rPr>
          <w:rFonts w:eastAsia="Calibri" w:cs="Times New Roman"/>
        </w:rPr>
        <w:t>(2004), sente-se constrangido em relação a sua masculinidade por não poder pagar um jantar à Angélica e mais afetado fica quando ela sugere pagar, pois para ele o homem é quem faz isso, o que acontece de mesma forma com o pai de Angélica, quando sente que está perdendo o controle da família, especialmente por parte de uma filha mulher, e com Jota, quando a mulher vai se esgueirando da sua dominação por meio do trabalho.</w:t>
      </w:r>
    </w:p>
    <w:p w:rsidR="004F6395" w:rsidRPr="004F6395" w:rsidRDefault="004F6395" w:rsidP="004F6395">
      <w:pPr>
        <w:ind w:firstLine="851"/>
        <w:rPr>
          <w:rFonts w:eastAsia="Calibri" w:cs="Times New Roman"/>
        </w:rPr>
      </w:pPr>
      <w:r w:rsidRPr="004F6395">
        <w:rPr>
          <w:rFonts w:eastAsia="Calibri" w:cs="Times New Roman"/>
        </w:rPr>
        <w:t xml:space="preserve">Assim como os personagens femininos contrastantes, há também os masculinos: Afonso, de </w:t>
      </w:r>
      <w:r w:rsidRPr="004F6395">
        <w:rPr>
          <w:rFonts w:eastAsia="Calibri" w:cs="Times New Roman"/>
          <w:i/>
        </w:rPr>
        <w:t>A bolsa amarela</w:t>
      </w:r>
      <w:r w:rsidRPr="004F6395">
        <w:rPr>
          <w:rFonts w:eastAsia="Calibri" w:cs="Times New Roman"/>
        </w:rPr>
        <w:t xml:space="preserve"> (2004), não quer ser galo de terreiro, nem muito menos mandar em galinha alguma, pelo contrário, preza pela autonomia delas; Napoleão Gonçalves, de </w:t>
      </w:r>
      <w:r w:rsidR="00605E7E" w:rsidRPr="00605E7E">
        <w:rPr>
          <w:rFonts w:eastAsia="Calibri" w:cs="Times New Roman"/>
          <w:i/>
        </w:rPr>
        <w:t>Angélica (2004)</w:t>
      </w:r>
      <w:r w:rsidRPr="004F6395">
        <w:rPr>
          <w:rFonts w:eastAsia="Calibri" w:cs="Times New Roman"/>
        </w:rPr>
        <w:t>, depois que a esposa morre, resolve levar a vida de forma mais caseira, cuidando da casa e dos filhos.</w:t>
      </w:r>
    </w:p>
    <w:p w:rsidR="004F6395" w:rsidRPr="004F6395" w:rsidRDefault="004F6395" w:rsidP="004F6395">
      <w:pPr>
        <w:ind w:firstLine="851"/>
        <w:rPr>
          <w:rFonts w:eastAsia="Calibri" w:cs="Times New Roman"/>
        </w:rPr>
      </w:pPr>
      <w:proofErr w:type="spellStart"/>
      <w:r w:rsidRPr="004F6395">
        <w:rPr>
          <w:rFonts w:eastAsia="Calibri" w:cs="Times New Roman"/>
        </w:rPr>
        <w:t>Cademartori</w:t>
      </w:r>
      <w:proofErr w:type="spellEnd"/>
      <w:r w:rsidRPr="004F6395">
        <w:rPr>
          <w:rFonts w:eastAsia="Calibri" w:cs="Times New Roman"/>
        </w:rPr>
        <w:t xml:space="preserve"> (2006) </w:t>
      </w:r>
      <w:bookmarkEnd w:id="4"/>
      <w:r w:rsidRPr="004F6395">
        <w:rPr>
          <w:rFonts w:eastAsia="Calibri" w:cs="Times New Roman"/>
        </w:rPr>
        <w:t>afirma que Lygia Bojunga utiliza a própria infância para tratar de temas como esses</w:t>
      </w:r>
      <w:r w:rsidR="00605E7E">
        <w:rPr>
          <w:rFonts w:eastAsia="Calibri" w:cs="Times New Roman"/>
        </w:rPr>
        <w:t>,</w:t>
      </w:r>
      <w:r w:rsidRPr="004F6395">
        <w:rPr>
          <w:rFonts w:eastAsia="Calibri" w:cs="Times New Roman"/>
        </w:rPr>
        <w:t xml:space="preserve"> que são considerados adultos, e é através disso que ela propicia “[...] ao pequeno leitor a identificação com situações que afetam as </w:t>
      </w:r>
      <w:r w:rsidRPr="004F6395">
        <w:rPr>
          <w:rFonts w:eastAsia="Calibri" w:cs="Times New Roman"/>
        </w:rPr>
        <w:lastRenderedPageBreak/>
        <w:t xml:space="preserve">personagens infantis e que, por encontrarem eco na vivência da criança que lê, permitem adesão ao mundo ficcional” (CADEMARTORI, 2006, p. 64). </w:t>
      </w:r>
    </w:p>
    <w:p w:rsidR="004F6395" w:rsidRPr="004F6395" w:rsidRDefault="004F6395" w:rsidP="004F6395">
      <w:pPr>
        <w:ind w:firstLine="851"/>
        <w:rPr>
          <w:rFonts w:eastAsia="Calibri" w:cs="Times New Roman"/>
        </w:rPr>
      </w:pPr>
      <w:r w:rsidRPr="004F6395">
        <w:rPr>
          <w:rFonts w:eastAsia="Calibri" w:cs="Times New Roman"/>
        </w:rPr>
        <w:t xml:space="preserve">Outra peculiaridade da escrita de Lygia Bojunga é a forma como ela metamorfoseia a criança nos animais. Este recurso, que segundo </w:t>
      </w:r>
      <w:proofErr w:type="spellStart"/>
      <w:r w:rsidRPr="004F6395">
        <w:rPr>
          <w:rFonts w:eastAsia="Calibri" w:cs="Times New Roman"/>
        </w:rPr>
        <w:t>Zilberman</w:t>
      </w:r>
      <w:proofErr w:type="spellEnd"/>
      <w:r w:rsidRPr="004F6395">
        <w:rPr>
          <w:rFonts w:eastAsia="Calibri" w:cs="Times New Roman"/>
        </w:rPr>
        <w:t xml:space="preserve"> (2005) é muito bem aceito pelas crianças leitoras, aparece em cinco livros da autora. Em </w:t>
      </w:r>
      <w:r w:rsidRPr="004F6395">
        <w:rPr>
          <w:rFonts w:eastAsia="Calibri" w:cs="Times New Roman"/>
          <w:i/>
        </w:rPr>
        <w:t>A bolsa amarela</w:t>
      </w:r>
      <w:r w:rsidRPr="004F6395">
        <w:rPr>
          <w:rFonts w:eastAsia="Calibri" w:cs="Times New Roman"/>
        </w:rPr>
        <w:t xml:space="preserve"> (2007) e </w:t>
      </w:r>
      <w:r w:rsidRPr="004F6395">
        <w:rPr>
          <w:rFonts w:eastAsia="Calibri" w:cs="Times New Roman"/>
          <w:i/>
        </w:rPr>
        <w:t xml:space="preserve">A casa da Madrinha </w:t>
      </w:r>
      <w:r w:rsidRPr="004F6395">
        <w:rPr>
          <w:rFonts w:eastAsia="Calibri" w:cs="Times New Roman"/>
        </w:rPr>
        <w:t xml:space="preserve">(2017), Raquel e Alexandre são humanos, mas estão acompanhados de personagens animais que aparecem como auxiliares; em </w:t>
      </w:r>
      <w:r w:rsidRPr="004F6395">
        <w:rPr>
          <w:rFonts w:eastAsia="Calibri" w:cs="Times New Roman"/>
          <w:i/>
        </w:rPr>
        <w:t>Os Colegas</w:t>
      </w:r>
      <w:r w:rsidRPr="004F6395">
        <w:rPr>
          <w:rFonts w:eastAsia="Calibri" w:cs="Times New Roman"/>
        </w:rPr>
        <w:t xml:space="preserve"> (2014), </w:t>
      </w:r>
      <w:r w:rsidRPr="004F6395">
        <w:rPr>
          <w:rFonts w:eastAsia="Calibri" w:cs="Times New Roman"/>
          <w:i/>
        </w:rPr>
        <w:t>Angélica</w:t>
      </w:r>
      <w:r w:rsidRPr="004F6395">
        <w:rPr>
          <w:rFonts w:eastAsia="Calibri" w:cs="Times New Roman"/>
        </w:rPr>
        <w:t xml:space="preserve"> (2004) e </w:t>
      </w:r>
      <w:r w:rsidRPr="004F6395">
        <w:rPr>
          <w:rFonts w:eastAsia="Calibri" w:cs="Times New Roman"/>
          <w:i/>
        </w:rPr>
        <w:t>O sofá estampado</w:t>
      </w:r>
      <w:r w:rsidRPr="004F6395">
        <w:rPr>
          <w:rFonts w:eastAsia="Calibri" w:cs="Times New Roman"/>
        </w:rPr>
        <w:t xml:space="preserve"> (2015) todos protagonistas são animais.</w:t>
      </w:r>
    </w:p>
    <w:p w:rsidR="004F6395" w:rsidRPr="004F6395" w:rsidRDefault="004F6395" w:rsidP="004F6395">
      <w:pPr>
        <w:ind w:firstLine="851"/>
        <w:rPr>
          <w:rFonts w:eastAsia="Calibri" w:cs="Times New Roman"/>
        </w:rPr>
      </w:pPr>
      <w:r w:rsidRPr="004F6395">
        <w:rPr>
          <w:rFonts w:eastAsia="Calibri" w:cs="Times New Roman"/>
        </w:rPr>
        <w:t>De acordo com Coelho (2000), os animais são “[i]</w:t>
      </w:r>
      <w:proofErr w:type="spellStart"/>
      <w:r w:rsidRPr="004F6395">
        <w:rPr>
          <w:rFonts w:eastAsia="Calibri" w:cs="Times New Roman"/>
        </w:rPr>
        <w:t>mportantes</w:t>
      </w:r>
      <w:proofErr w:type="spellEnd"/>
      <w:r w:rsidRPr="004F6395">
        <w:rPr>
          <w:rFonts w:eastAsia="Calibri" w:cs="Times New Roman"/>
        </w:rPr>
        <w:t xml:space="preserve"> presenças no mundo da literatura, [...] continuam sendo uma fonte de sugestões para a invenção de histórias atraentes para crianças e adultos” (COELHO 2000, p.167-168). Essa atração se dá, principalmente, pelo fato de os animais serem usados de forma a ser possível traçar semelhanças entre seu comportamento e o comportamento humano, algo que vem sendo feito desde as coletâneas de histórias da época medieval. </w:t>
      </w:r>
    </w:p>
    <w:p w:rsidR="004F6395" w:rsidRPr="004F6395" w:rsidRDefault="004F6395" w:rsidP="004F6395">
      <w:pPr>
        <w:ind w:firstLine="851"/>
        <w:rPr>
          <w:rFonts w:eastAsia="Calibri" w:cs="Times New Roman"/>
        </w:rPr>
      </w:pPr>
      <w:r w:rsidRPr="004F6395">
        <w:rPr>
          <w:rFonts w:eastAsia="Calibri" w:cs="Times New Roman"/>
        </w:rPr>
        <w:t xml:space="preserve">Inicialmente os animais foram usados na literatura para a instrução moral e religiosa e, com o passar do tempo, tornaram-se parte do folclore, da arte, da literatura, etc., influenciando o simbolismo e a imagística. Diferentemente desses contos, a fábula é voltada para um traço específico do caráter humano, a bondade, a inveja, a compaixão, etc. e seu intento é que o leitor note a semelhança entre o seu comportamento e o do animal, e no que esse comportamento possa resultar (SANDRONI, 2011). </w:t>
      </w:r>
    </w:p>
    <w:p w:rsidR="004F6395" w:rsidRPr="004F6395" w:rsidRDefault="004F6395" w:rsidP="004F6395">
      <w:pPr>
        <w:ind w:firstLine="851"/>
        <w:rPr>
          <w:rFonts w:eastAsia="Calibri" w:cs="Times New Roman"/>
        </w:rPr>
      </w:pPr>
      <w:r w:rsidRPr="004F6395">
        <w:rPr>
          <w:rFonts w:eastAsia="Calibri" w:cs="Times New Roman"/>
        </w:rPr>
        <w:t>Os animais de Lygia Bojunga não têm a mesma intenção moralista que os contos e as fábulas, não só apresentam semelhanças com o comportamento humano, como representam a criança, mas não de forma a inculcar-lhe valores, e sim com o propósito de mostrar que compreende e sente os mesmos medos, anseios e angustias. São “[...] animais que variam de espécie e de ‘temperamento’ segundo a inspiração da autora e as necessidades das várias narrativas, formando um bestiário que está entre os mais ricos da literatura brasileira contemporânea” (SANDRONI, 2011, p. 162, grifos do autor). Lygia mimetiza alguns comportamentos humanos nos animais, como a vaidade, a autoridade, o consumismo, porém, sempre de forma satírica contestando àquilo que representam, e não de forma moralizante.</w:t>
      </w:r>
    </w:p>
    <w:p w:rsidR="004F6395" w:rsidRPr="004F6395" w:rsidRDefault="004F6395" w:rsidP="004F6395">
      <w:pPr>
        <w:ind w:firstLine="851"/>
        <w:rPr>
          <w:rFonts w:eastAsia="Calibri" w:cs="Times New Roman"/>
        </w:rPr>
      </w:pPr>
      <w:r w:rsidRPr="004F6395">
        <w:rPr>
          <w:rFonts w:eastAsia="Calibri" w:cs="Times New Roman"/>
        </w:rPr>
        <w:t>Além de serem ferramentas para a crítica do que representam, os animais que Lygia Bojunga cria facilitam</w:t>
      </w:r>
    </w:p>
    <w:p w:rsidR="004F6395" w:rsidRPr="004F6395" w:rsidRDefault="004F6395" w:rsidP="004F6395">
      <w:pPr>
        <w:ind w:firstLine="851"/>
        <w:rPr>
          <w:rFonts w:eastAsia="Calibri" w:cs="Times New Roman"/>
        </w:rPr>
      </w:pPr>
    </w:p>
    <w:p w:rsidR="004F6395" w:rsidRPr="004F6395" w:rsidRDefault="004F6395" w:rsidP="004F6395">
      <w:pPr>
        <w:spacing w:line="240" w:lineRule="auto"/>
        <w:ind w:left="2268" w:firstLine="0"/>
        <w:rPr>
          <w:rFonts w:eastAsia="Calibri" w:cs="Times New Roman"/>
          <w:sz w:val="22"/>
        </w:rPr>
      </w:pPr>
      <w:r w:rsidRPr="004F6395">
        <w:rPr>
          <w:rFonts w:eastAsia="Calibri" w:cs="Times New Roman"/>
          <w:sz w:val="22"/>
        </w:rPr>
        <w:lastRenderedPageBreak/>
        <w:t>[...] o reconhecimento de situações cotidianas e a criação de espaços imaginários dentro das possibilidades do universo infantil urbano brasileiro contemporâneo. [...] esses bichos trazem a marca do cotidiano, representam questões e atitudes do dia a dia, remetem ao real, têm função exemplar e aguçam a percepção crítica. (SANDRONI, 2011, p. 171)</w:t>
      </w:r>
    </w:p>
    <w:p w:rsidR="004F6395" w:rsidRPr="004F6395" w:rsidRDefault="004F6395" w:rsidP="004F6395">
      <w:pPr>
        <w:ind w:firstLine="851"/>
        <w:rPr>
          <w:rFonts w:eastAsia="Calibri" w:cs="Times New Roman"/>
        </w:rPr>
      </w:pPr>
    </w:p>
    <w:p w:rsidR="004F6395" w:rsidRPr="004F6395" w:rsidRDefault="004F6395" w:rsidP="004F6395">
      <w:pPr>
        <w:ind w:firstLine="851"/>
        <w:rPr>
          <w:rFonts w:eastAsia="Calibri" w:cs="Times New Roman"/>
        </w:rPr>
      </w:pPr>
      <w:r w:rsidRPr="004F6395">
        <w:rPr>
          <w:rFonts w:eastAsia="Calibri" w:cs="Times New Roman"/>
        </w:rPr>
        <w:t>Isso porquê é através da arte, da literatura e das demais formas de expressão que nós nos sentimos mais próximos da realidade e podemos compreendê-la de forma mais clara, de modo que aquilo que não entendemos em nosso inconsciente, quando representado pela arte, pela literatura, se torna mais fácil de adentrar pelo consciente e aguçar nossa percepção sobre a vida, os sentimentos, as pessoas e tudo à nossa volta.</w:t>
      </w:r>
    </w:p>
    <w:p w:rsidR="004F6395" w:rsidRPr="004F6395" w:rsidRDefault="004F6395" w:rsidP="004F6395">
      <w:pPr>
        <w:ind w:firstLine="851"/>
        <w:rPr>
          <w:rFonts w:eastAsia="Calibri" w:cs="Times New Roman"/>
        </w:rPr>
      </w:pPr>
      <w:r w:rsidRPr="004F6395">
        <w:rPr>
          <w:rFonts w:eastAsia="Calibri" w:cs="Times New Roman"/>
        </w:rPr>
        <w:t xml:space="preserve">Além do que já foi citado, outro aspecto que é valido ressaltar nas obras de Lygia Bojunga é a posição do adulto com relação a criança, o que retoma a sua posição de defesa dos direitos da criança. </w:t>
      </w:r>
      <w:proofErr w:type="spellStart"/>
      <w:r w:rsidRPr="004F6395">
        <w:rPr>
          <w:rFonts w:eastAsia="Calibri" w:cs="Times New Roman"/>
        </w:rPr>
        <w:t>Sandroni</w:t>
      </w:r>
      <w:proofErr w:type="spellEnd"/>
      <w:r w:rsidRPr="004F6395">
        <w:rPr>
          <w:rFonts w:eastAsia="Calibri" w:cs="Times New Roman"/>
        </w:rPr>
        <w:t xml:space="preserve"> (2011) reconhece que a autora coloca a questão da autoridade adulta não na perspectiva dos adultos, principalmente homens, que são sempre colocados como chefes, mas pelo olhar da criança, tirando do adulto a detenção de todas as verdades e colocando nas crianças a capacidade de ação, reflexão e empoderamento. Afasta assim, a ideia de que somente a família e a escola são agentes responsáveis pela educação, proteção e controle da criança.</w:t>
      </w:r>
    </w:p>
    <w:p w:rsidR="004F6395" w:rsidRPr="004F6395" w:rsidRDefault="004F6395" w:rsidP="004F6395">
      <w:pPr>
        <w:ind w:firstLine="851"/>
        <w:rPr>
          <w:rFonts w:eastAsia="Calibri" w:cs="Times New Roman"/>
        </w:rPr>
      </w:pPr>
      <w:r w:rsidRPr="004F6395">
        <w:rPr>
          <w:rFonts w:eastAsia="Calibri" w:cs="Times New Roman"/>
        </w:rPr>
        <w:t xml:space="preserve">Isso corrobora com os pressupostos de </w:t>
      </w:r>
      <w:proofErr w:type="spellStart"/>
      <w:r w:rsidRPr="004F6395">
        <w:rPr>
          <w:rFonts w:eastAsia="Calibri" w:cs="Times New Roman"/>
        </w:rPr>
        <w:t>Cademartori</w:t>
      </w:r>
      <w:proofErr w:type="spellEnd"/>
      <w:r w:rsidRPr="004F6395">
        <w:rPr>
          <w:rFonts w:eastAsia="Calibri" w:cs="Times New Roman"/>
        </w:rPr>
        <w:t xml:space="preserve"> (2006), ao afirmar que os livros de Lygia Bojunga “[...] põem a berlinda duas instituições que chamam a si a responsabilidade de ensinar: a escola e a família. Denuncia-as por desrespeitarem a integridade da criança, restringindo a liberdade e a criatividade” (CADEMARTORI, 2006, p. 65).</w:t>
      </w:r>
    </w:p>
    <w:p w:rsidR="004F6395" w:rsidRPr="004F6395" w:rsidRDefault="004F6395" w:rsidP="004F6395">
      <w:pPr>
        <w:ind w:firstLine="851"/>
        <w:rPr>
          <w:rFonts w:eastAsia="Calibri" w:cs="Times New Roman"/>
        </w:rPr>
      </w:pPr>
      <w:r w:rsidRPr="004F6395">
        <w:rPr>
          <w:rFonts w:eastAsia="Calibri" w:cs="Times New Roman"/>
        </w:rPr>
        <w:t xml:space="preserve">Além de apadrinhar os interesses e direitos da criança, Lygia Bojunga coloca a arte como ponto de autoconhecimento e espaço para compreender a si mesmo e os outros. É a partir da arte, da música, da dança, da pintura, do teatro, da escrita e da inventividade que os seus personagens se encontram enquanto pessoas, encontram a si mesmo e aos outros, mas sempre acompanhados de grupos, patotas, bandos, turmas, etc. </w:t>
      </w:r>
      <w:proofErr w:type="spellStart"/>
      <w:r w:rsidRPr="004F6395">
        <w:rPr>
          <w:rFonts w:eastAsia="Calibri" w:cs="Times New Roman"/>
        </w:rPr>
        <w:t>Zilberman</w:t>
      </w:r>
      <w:proofErr w:type="spellEnd"/>
      <w:r w:rsidRPr="004F6395">
        <w:rPr>
          <w:rFonts w:eastAsia="Calibri" w:cs="Times New Roman"/>
        </w:rPr>
        <w:t xml:space="preserve"> (2005), a esse respeito afirma que: </w:t>
      </w:r>
    </w:p>
    <w:p w:rsidR="004F6395" w:rsidRPr="004F6395" w:rsidRDefault="004F6395" w:rsidP="00605E7E">
      <w:pPr>
        <w:spacing w:line="240" w:lineRule="auto"/>
        <w:ind w:left="2268" w:firstLine="0"/>
        <w:rPr>
          <w:rFonts w:eastAsia="Calibri" w:cs="Times New Roman"/>
          <w:sz w:val="22"/>
        </w:rPr>
      </w:pPr>
      <w:r w:rsidRPr="004F6395">
        <w:rPr>
          <w:rFonts w:eastAsia="Calibri" w:cs="Times New Roman"/>
          <w:sz w:val="22"/>
        </w:rPr>
        <w:t xml:space="preserve">Os dois cães da abertura da história não formam as figuras exclusivas da história. Aos poucos, eles encontram outros animais que, por alguma razão, estão marginalizados ou sentem-se infelizes, vindo a agregar-se ao grupo de amigos, de que nasce um conjunto musical. [...] as personagens [...] estão em busca de lugar na sociedade, que resulta – e essa é a peculiaridade da temática de Lygia – da descoberta artística. </w:t>
      </w:r>
      <w:r w:rsidRPr="004F6395">
        <w:rPr>
          <w:rFonts w:eastAsia="Calibri" w:cs="Times New Roman"/>
          <w:i/>
          <w:sz w:val="22"/>
        </w:rPr>
        <w:t>Os Colegas</w:t>
      </w:r>
      <w:r w:rsidRPr="004F6395">
        <w:rPr>
          <w:rFonts w:eastAsia="Calibri" w:cs="Times New Roman"/>
          <w:sz w:val="22"/>
        </w:rPr>
        <w:t xml:space="preserve">, [...] são cantores; Angélica, do livro com esse título, faz teatro; Raquel, protagonista de A Bolsa Amarela, escreve </w:t>
      </w:r>
      <w:r w:rsidRPr="004F6395">
        <w:rPr>
          <w:rFonts w:eastAsia="Calibri" w:cs="Times New Roman"/>
          <w:sz w:val="22"/>
        </w:rPr>
        <w:lastRenderedPageBreak/>
        <w:t>[...] A arte é, nesses livros, fator importante para a liberação das personagens, escolha que só coaduna com o teor dos livros nos quais os personagens aparecem, já que também eles provam-se inovadores e inconformados com a tradição da literatura infantil. (ZILBERMAN, 2005, p. 71)</w:t>
      </w:r>
    </w:p>
    <w:p w:rsidR="004F6395" w:rsidRPr="004F6395" w:rsidRDefault="004F6395" w:rsidP="004F6395">
      <w:pPr>
        <w:ind w:firstLine="851"/>
        <w:rPr>
          <w:rFonts w:eastAsia="Calibri" w:cs="Times New Roman"/>
        </w:rPr>
      </w:pPr>
    </w:p>
    <w:p w:rsidR="004F6395" w:rsidRPr="004F6395" w:rsidRDefault="004F6395" w:rsidP="004F6395">
      <w:pPr>
        <w:ind w:firstLine="851"/>
        <w:rPr>
          <w:rFonts w:eastAsia="Calibri" w:cs="Times New Roman"/>
        </w:rPr>
      </w:pPr>
      <w:r w:rsidRPr="004F6395">
        <w:rPr>
          <w:rFonts w:eastAsia="Calibri" w:cs="Times New Roman"/>
        </w:rPr>
        <w:t xml:space="preserve">Nesse mesmo viés da arte como libertação e da retomada dos coletivos, </w:t>
      </w:r>
      <w:proofErr w:type="spellStart"/>
      <w:r w:rsidRPr="004F6395">
        <w:rPr>
          <w:rFonts w:eastAsia="Calibri" w:cs="Times New Roman"/>
        </w:rPr>
        <w:t>Sandroni</w:t>
      </w:r>
      <w:proofErr w:type="spellEnd"/>
      <w:r w:rsidRPr="004F6395">
        <w:rPr>
          <w:rFonts w:eastAsia="Calibri" w:cs="Times New Roman"/>
        </w:rPr>
        <w:t xml:space="preserve"> (2011) especifica que há nas obras de Lygia Bojunga a valorização do trabalho como forma de realização, trabalho este marginalizado por ser caracterizado como arte, onde “[...] a criação coletiva que permite a realização de cada um. [...] A arte ao mesmo tempo que é encantamento, magia, é também denunciadora” (SANDRONI, 2011, p. 107).</w:t>
      </w:r>
    </w:p>
    <w:p w:rsidR="004F6395" w:rsidRPr="004F6395" w:rsidRDefault="004F6395" w:rsidP="004F6395">
      <w:pPr>
        <w:ind w:firstLine="851"/>
        <w:rPr>
          <w:rFonts w:eastAsia="Calibri" w:cs="Times New Roman"/>
        </w:rPr>
      </w:pPr>
      <w:r w:rsidRPr="004F6395">
        <w:rPr>
          <w:rFonts w:eastAsia="Calibri" w:cs="Times New Roman"/>
        </w:rPr>
        <w:t xml:space="preserve">É por isso que as narrativas de Lygia Bojunga podem ser consideradas introspectivas, à medida que internalizam em seus personagens as várias atribulações do mundo social e do mundo interior da criança. </w:t>
      </w:r>
      <w:proofErr w:type="spellStart"/>
      <w:r w:rsidRPr="004F6395">
        <w:rPr>
          <w:rFonts w:eastAsia="Calibri" w:cs="Times New Roman"/>
        </w:rPr>
        <w:t>Zilberman</w:t>
      </w:r>
      <w:proofErr w:type="spellEnd"/>
      <w:r w:rsidRPr="004F6395">
        <w:rPr>
          <w:rFonts w:eastAsia="Calibri" w:cs="Times New Roman"/>
        </w:rPr>
        <w:t xml:space="preserve"> alega que “ [...] é como se Lygia apontasse ser possível desvendar o universo interior da criança, por esse ter um conteúdo próprio, com imagens e aspirações, impossíveis de serem simplesmente reduzidas a noções de psicologia infantil ou de psicanálise” (ZILBERMAN, 2005, p 73-74). Além do alto nível de criação, da originalidade, suas obras possibilitam verdadeiros mergulhos na alma, adentrando na essência de ser criança.</w:t>
      </w:r>
    </w:p>
    <w:p w:rsidR="004F6395" w:rsidRPr="004F6395" w:rsidRDefault="004F6395" w:rsidP="004F6395">
      <w:pPr>
        <w:ind w:firstLine="851"/>
        <w:rPr>
          <w:rFonts w:eastAsia="Calibri" w:cs="Times New Roman"/>
        </w:rPr>
      </w:pPr>
      <w:r w:rsidRPr="004F6395">
        <w:rPr>
          <w:rFonts w:eastAsia="Calibri" w:cs="Times New Roman"/>
        </w:rPr>
        <w:t xml:space="preserve">Reforçando o que foi dito por </w:t>
      </w:r>
      <w:proofErr w:type="spellStart"/>
      <w:r w:rsidRPr="004F6395">
        <w:rPr>
          <w:rFonts w:eastAsia="Calibri" w:cs="Times New Roman"/>
        </w:rPr>
        <w:t>Zilberman</w:t>
      </w:r>
      <w:proofErr w:type="spellEnd"/>
      <w:r w:rsidRPr="004F6395">
        <w:rPr>
          <w:rFonts w:eastAsia="Calibri" w:cs="Times New Roman"/>
        </w:rPr>
        <w:t xml:space="preserve"> (2005), temos </w:t>
      </w:r>
      <w:bookmarkStart w:id="9" w:name="_Hlk483127134"/>
      <w:r w:rsidRPr="004F6395">
        <w:rPr>
          <w:rFonts w:eastAsia="Calibri" w:cs="Times New Roman"/>
        </w:rPr>
        <w:t>Amarilha (2009)</w:t>
      </w:r>
      <w:bookmarkEnd w:id="9"/>
      <w:r w:rsidRPr="004F6395">
        <w:rPr>
          <w:rFonts w:eastAsia="Calibri" w:cs="Times New Roman"/>
        </w:rPr>
        <w:t xml:space="preserve"> que fala a respeito da identificação da criança leitora com as personagens:</w:t>
      </w:r>
    </w:p>
    <w:p w:rsidR="004F6395" w:rsidRPr="004F6395" w:rsidRDefault="004F6395" w:rsidP="004F6395">
      <w:pPr>
        <w:ind w:firstLine="851"/>
        <w:rPr>
          <w:rFonts w:eastAsia="Calibri" w:cs="Times New Roman"/>
        </w:rPr>
      </w:pPr>
    </w:p>
    <w:p w:rsidR="004F6395" w:rsidRPr="004F6395" w:rsidRDefault="004F6395" w:rsidP="004F6395">
      <w:pPr>
        <w:spacing w:line="240" w:lineRule="auto"/>
        <w:ind w:left="2268" w:firstLine="0"/>
        <w:rPr>
          <w:rFonts w:eastAsia="Times New Roman" w:cs="Times New Roman"/>
          <w:noProof/>
          <w:sz w:val="22"/>
          <w:szCs w:val="24"/>
          <w:lang w:eastAsia="pt-BR"/>
        </w:rPr>
      </w:pPr>
      <w:r w:rsidRPr="004F6395">
        <w:rPr>
          <w:rFonts w:eastAsia="Times New Roman" w:cs="Times New Roman"/>
          <w:noProof/>
          <w:sz w:val="22"/>
          <w:szCs w:val="24"/>
          <w:lang w:eastAsia="pt-BR"/>
        </w:rPr>
        <w:t>Através do processo de identificação com os personagens, a criança passa a viver o jogo ficcional projetando-se na trama da narrativa. Acrescenta-se à experiência o momento catártico, em que a identificação atinge o grau de elação emocional, concluindo de forma liberadora todo o processo de envolvimento. (AMARILHA, 2009, p. 18)</w:t>
      </w:r>
    </w:p>
    <w:p w:rsidR="004F6395" w:rsidRPr="004F6395" w:rsidRDefault="004F6395" w:rsidP="004F6395">
      <w:pPr>
        <w:ind w:firstLine="851"/>
        <w:rPr>
          <w:rFonts w:eastAsia="Times New Roman" w:cs="Times New Roman"/>
          <w:szCs w:val="24"/>
          <w:lang w:eastAsia="pt-BR"/>
        </w:rPr>
      </w:pPr>
    </w:p>
    <w:p w:rsidR="004F6395" w:rsidRPr="004F6395" w:rsidRDefault="004F6395" w:rsidP="004F6395">
      <w:pPr>
        <w:ind w:firstLine="851"/>
        <w:rPr>
          <w:rFonts w:eastAsia="Times New Roman" w:cs="Times New Roman"/>
          <w:noProof/>
          <w:szCs w:val="24"/>
          <w:lang w:eastAsia="pt-BR"/>
        </w:rPr>
      </w:pPr>
      <w:r w:rsidRPr="004F6395">
        <w:rPr>
          <w:rFonts w:eastAsia="Times New Roman" w:cs="Times New Roman"/>
          <w:noProof/>
          <w:szCs w:val="24"/>
          <w:lang w:eastAsia="pt-BR"/>
        </w:rPr>
        <w:t>O pequeno leitor ao vivenciar o processo de identificação e vestir-se de seu personagem favorito, confirma que foi tocado pelo texto de alguma forma, seja pela semelhança de contexto, de características, de angústias, medos ou alegrias. Ao identificar-se com uma personagem, a criança entra em sintonia com os sentimentos sociais/psicológicos dos personagens, ao mesmo tempo que responde com os seus sentimentos que são representados pela personagem e é nesse momento que a catarse acontece.</w:t>
      </w:r>
    </w:p>
    <w:p w:rsidR="004F6395" w:rsidRPr="004F6395" w:rsidRDefault="004F6395" w:rsidP="004F6395">
      <w:pPr>
        <w:ind w:firstLine="851"/>
        <w:rPr>
          <w:rFonts w:eastAsia="Times New Roman" w:cs="Times New Roman"/>
          <w:szCs w:val="24"/>
          <w:lang w:eastAsia="pt-BR"/>
        </w:rPr>
      </w:pPr>
      <w:r w:rsidRPr="004F6395">
        <w:rPr>
          <w:rFonts w:eastAsia="Times New Roman" w:cs="Times New Roman"/>
          <w:noProof/>
          <w:szCs w:val="24"/>
          <w:lang w:eastAsia="pt-BR"/>
        </w:rPr>
        <w:lastRenderedPageBreak/>
        <w:t xml:space="preserve">A identificação com as obras de Lygia Bojunga e seus personagens acontece, principalmente, pelo fato dela tratar de assuntos e desejos comuns as crianças, isso permite com que ela adentre o universo infantil de forma mais intensa e verdadeira. Zilberman (2005, p. 76) ainda afirma que </w:t>
      </w:r>
      <w:r w:rsidRPr="004F6395">
        <w:rPr>
          <w:rFonts w:eastAsia="Times New Roman" w:cs="Times New Roman"/>
          <w:szCs w:val="24"/>
          <w:lang w:eastAsia="pt-BR"/>
        </w:rPr>
        <w:t>“[...] o leitor acompanha, pois, o amadurecimento da figura central, os percalços íntimos e, sobretudo as fragilidades [..], fornecendo [...] alternativas de representação que coincidem com seu próprio mundo e atitudes”. Desse modo, a literatura pode vir a contribuir não só para a identificação do leitor com o personagem, mais ainda, contribuir e servir de projeção para a resolução de seus conflitos interiores. É o que ressalta Amarilha (2009):</w:t>
      </w:r>
    </w:p>
    <w:p w:rsidR="004F6395" w:rsidRPr="004F6395" w:rsidRDefault="004F6395" w:rsidP="004F6395">
      <w:pPr>
        <w:ind w:firstLine="851"/>
        <w:rPr>
          <w:rFonts w:eastAsia="Times New Roman" w:cs="Times New Roman"/>
          <w:szCs w:val="24"/>
          <w:lang w:eastAsia="pt-BR"/>
        </w:rPr>
      </w:pPr>
    </w:p>
    <w:p w:rsidR="004F6395" w:rsidRPr="004F6395" w:rsidRDefault="004F6395" w:rsidP="004F6395">
      <w:pPr>
        <w:spacing w:line="240" w:lineRule="auto"/>
        <w:ind w:left="2268" w:firstLine="0"/>
        <w:rPr>
          <w:rFonts w:eastAsia="Times New Roman" w:cs="Times New Roman"/>
          <w:noProof/>
          <w:sz w:val="22"/>
          <w:szCs w:val="24"/>
          <w:lang w:eastAsia="pt-BR"/>
        </w:rPr>
      </w:pPr>
      <w:r w:rsidRPr="004F6395">
        <w:rPr>
          <w:rFonts w:eastAsia="Times New Roman" w:cs="Times New Roman"/>
          <w:noProof/>
          <w:sz w:val="22"/>
          <w:szCs w:val="24"/>
          <w:lang w:eastAsia="pt-BR"/>
        </w:rPr>
        <w:t xml:space="preserve">Ao entrar na trama de uma narrativa, o ouvinte ou leitor penetra no teatro. Mas, do lado do palco também, ele não só assiste ao desenrolar do enredo como pode encarnar um personagem, vestir sua máscara e viver suas emoções, seus dilemas. Dessa forma, ele se projeta no outro e através desse jogo de espelho ganha autonomia e ensaia atitudes e esquemas práticos, necessários à vida adulta. (TUTTLE, PAQUETE </w:t>
      </w:r>
      <w:r w:rsidRPr="004F6395">
        <w:rPr>
          <w:rFonts w:eastAsia="Times New Roman" w:cs="Times New Roman"/>
          <w:i/>
          <w:noProof/>
          <w:sz w:val="22"/>
          <w:szCs w:val="24"/>
          <w:lang w:eastAsia="pt-BR"/>
        </w:rPr>
        <w:t>apud</w:t>
      </w:r>
      <w:r w:rsidRPr="004F6395">
        <w:rPr>
          <w:rFonts w:eastAsia="Times New Roman" w:cs="Times New Roman"/>
          <w:noProof/>
          <w:sz w:val="22"/>
          <w:szCs w:val="24"/>
          <w:lang w:eastAsia="pt-BR"/>
        </w:rPr>
        <w:t xml:space="preserve"> AMARILHA, 2009, p. 53)</w:t>
      </w:r>
    </w:p>
    <w:p w:rsidR="004F6395" w:rsidRPr="004F6395" w:rsidRDefault="004F6395" w:rsidP="004F6395">
      <w:pPr>
        <w:ind w:firstLine="851"/>
        <w:rPr>
          <w:rFonts w:eastAsia="Times New Roman" w:cs="Times New Roman"/>
          <w:szCs w:val="24"/>
          <w:lang w:eastAsia="pt-BR"/>
        </w:rPr>
      </w:pPr>
    </w:p>
    <w:p w:rsidR="004F6395" w:rsidRPr="004F6395" w:rsidRDefault="004F6395" w:rsidP="004F6395">
      <w:pPr>
        <w:ind w:firstLine="851"/>
        <w:rPr>
          <w:rFonts w:eastAsia="Times New Roman" w:cs="Times New Roman"/>
          <w:szCs w:val="24"/>
          <w:lang w:eastAsia="pt-BR"/>
        </w:rPr>
      </w:pPr>
      <w:r w:rsidRPr="004F6395">
        <w:rPr>
          <w:rFonts w:eastAsia="Times New Roman" w:cs="Times New Roman"/>
          <w:szCs w:val="24"/>
          <w:lang w:eastAsia="pt-BR"/>
        </w:rPr>
        <w:t xml:space="preserve">Ao encarnar a personagem, o leitor sente-se representado pelos anseios que o texto literário representa de tal forma que, a partir do que sente por meio da leitura, encontra alternativas e soluções reais para os seus próprios anseios. A narrativa “[...] proporciona modelos antecipatórios de situações que a criança poderá vir a vivenciar como criança ou como adulto. Ler é, então, participar de um teatro íntimo, ser ator e espectador ao mesmo tempo e não ter outra </w:t>
      </w:r>
      <w:proofErr w:type="spellStart"/>
      <w:r w:rsidRPr="004F6395">
        <w:rPr>
          <w:rFonts w:eastAsia="Times New Roman" w:cs="Times New Roman"/>
          <w:szCs w:val="24"/>
          <w:lang w:eastAsia="pt-BR"/>
        </w:rPr>
        <w:t>platéia</w:t>
      </w:r>
      <w:proofErr w:type="spellEnd"/>
      <w:r w:rsidRPr="004F6395">
        <w:rPr>
          <w:rFonts w:eastAsia="Times New Roman" w:cs="Times New Roman"/>
          <w:szCs w:val="24"/>
          <w:lang w:eastAsia="pt-BR"/>
        </w:rPr>
        <w:t xml:space="preserve"> que não a si mesmo” (AMARILHA, 2009, p.53). </w:t>
      </w:r>
    </w:p>
    <w:p w:rsidR="004F6395" w:rsidRPr="004F6395" w:rsidRDefault="004F6395" w:rsidP="004F6395">
      <w:pPr>
        <w:ind w:firstLine="851"/>
        <w:rPr>
          <w:rFonts w:eastAsia="Calibri" w:cs="Times New Roman"/>
        </w:rPr>
      </w:pPr>
      <w:r w:rsidRPr="004F6395">
        <w:rPr>
          <w:rFonts w:eastAsia="Calibri" w:cs="Times New Roman"/>
        </w:rPr>
        <w:t>Isso nos mostra o quanto a literatura pode agregar tanto o prazer de ler, quanto a realização d</w:t>
      </w:r>
      <w:r>
        <w:rPr>
          <w:rFonts w:eastAsia="Calibri" w:cs="Times New Roman"/>
        </w:rPr>
        <w:t>e algumas</w:t>
      </w:r>
      <w:r w:rsidRPr="004F6395">
        <w:rPr>
          <w:rFonts w:eastAsia="Calibri" w:cs="Times New Roman"/>
        </w:rPr>
        <w:t xml:space="preserve"> necessidades básicas do ser humano</w:t>
      </w:r>
      <w:r>
        <w:rPr>
          <w:rFonts w:eastAsia="Calibri" w:cs="Times New Roman"/>
        </w:rPr>
        <w:t>, como a de sentir representado</w:t>
      </w:r>
      <w:r w:rsidRPr="004F6395">
        <w:rPr>
          <w:rFonts w:eastAsia="Calibri" w:cs="Times New Roman"/>
        </w:rPr>
        <w:t xml:space="preserve">. </w:t>
      </w:r>
      <w:bookmarkStart w:id="10" w:name="_Hlk483228964"/>
      <w:r w:rsidRPr="004F6395">
        <w:rPr>
          <w:rFonts w:eastAsia="Calibri" w:cs="Times New Roman"/>
        </w:rPr>
        <w:t xml:space="preserve">Candido (2004), </w:t>
      </w:r>
      <w:bookmarkEnd w:id="10"/>
      <w:r w:rsidRPr="004F6395">
        <w:rPr>
          <w:rFonts w:eastAsia="Calibri" w:cs="Times New Roman"/>
        </w:rPr>
        <w:t>a respeito disso, afirma que “[...] as produções literárias, de todos os tipos e todos os níveis, satisfazem necessidades básicas do ser humano, sobretudo através dessa incorporação, que enriquece a nossa percepção e a nossa visão de mundo”. (CANDIDO, 2004, p. 179).</w:t>
      </w:r>
    </w:p>
    <w:p w:rsidR="004F6395" w:rsidRPr="004F6395" w:rsidRDefault="004F6395" w:rsidP="004F6395">
      <w:pPr>
        <w:ind w:firstLine="851"/>
        <w:rPr>
          <w:rFonts w:eastAsia="Calibri" w:cs="Times New Roman"/>
        </w:rPr>
      </w:pPr>
      <w:r w:rsidRPr="004F6395">
        <w:rPr>
          <w:rFonts w:eastAsia="Calibri" w:cs="Times New Roman"/>
        </w:rPr>
        <w:t xml:space="preserve">A literatura infantil, de acordo com </w:t>
      </w:r>
      <w:proofErr w:type="spellStart"/>
      <w:r w:rsidRPr="004F6395">
        <w:rPr>
          <w:rFonts w:eastAsia="Calibri" w:cs="Times New Roman"/>
        </w:rPr>
        <w:t>Sandroni</w:t>
      </w:r>
      <w:proofErr w:type="spellEnd"/>
      <w:r w:rsidRPr="004F6395">
        <w:rPr>
          <w:rFonts w:eastAsia="Calibri" w:cs="Times New Roman"/>
        </w:rPr>
        <w:t xml:space="preserve"> (2011), a partir da sua linguagem simbólica, faz com que a criança leitora experiencie seus conflitos no plano imaginário, de modo que, a partir desse plano, possa refletir, amadurecer e encontrar respostas para esses conflitos. Isso só acontece porque a literatura, especificamente as obras de Lygia </w:t>
      </w:r>
      <w:r w:rsidRPr="004F6395">
        <w:rPr>
          <w:rFonts w:eastAsia="Calibri" w:cs="Times New Roman"/>
        </w:rPr>
        <w:lastRenderedPageBreak/>
        <w:t>Bojunga, coloca a realidade da criança no plano da fantasia, e a partir da fantasia, trata de problemas comuns à infância e isso permite a adesão total dos seus leitores.</w:t>
      </w:r>
    </w:p>
    <w:p w:rsidR="004F6395" w:rsidRPr="004F6395" w:rsidRDefault="004F6395" w:rsidP="004F6395">
      <w:pPr>
        <w:ind w:firstLine="851"/>
        <w:rPr>
          <w:rFonts w:eastAsia="Calibri" w:cs="Times New Roman"/>
        </w:rPr>
      </w:pPr>
    </w:p>
    <w:p w:rsidR="004F6395" w:rsidRDefault="004F6395" w:rsidP="004F6395">
      <w:pPr>
        <w:ind w:firstLine="0"/>
        <w:rPr>
          <w:rFonts w:eastAsia="Calibri" w:cs="Times New Roman"/>
          <w:b/>
        </w:rPr>
      </w:pPr>
      <w:r w:rsidRPr="004F6395">
        <w:rPr>
          <w:rFonts w:eastAsia="Calibri" w:cs="Times New Roman"/>
          <w:b/>
        </w:rPr>
        <w:t xml:space="preserve">CONSIDERAÇÕES FINAIS </w:t>
      </w:r>
    </w:p>
    <w:p w:rsidR="00B42B6C" w:rsidRPr="004F6395" w:rsidRDefault="00B42B6C" w:rsidP="004F6395">
      <w:pPr>
        <w:ind w:firstLine="0"/>
        <w:rPr>
          <w:rFonts w:eastAsia="Calibri" w:cs="Times New Roman"/>
          <w:b/>
        </w:rPr>
      </w:pPr>
    </w:p>
    <w:p w:rsidR="004F6395" w:rsidRPr="004F6395" w:rsidRDefault="004F6395" w:rsidP="004F6395">
      <w:pPr>
        <w:ind w:firstLine="851"/>
        <w:rPr>
          <w:rFonts w:eastAsia="Calibri" w:cs="Times New Roman"/>
        </w:rPr>
      </w:pPr>
      <w:r w:rsidRPr="004F6395">
        <w:rPr>
          <w:rFonts w:eastAsia="Calibri" w:cs="Times New Roman"/>
        </w:rPr>
        <w:t>Com todas essas ferramentas e artimanhas,  Lygia Bojunga cria um estilo todo diferente de desenhar seus personagens, representar o seu público, encantar o leitor e escrever seus livros. Suas obras, que trazem como problemática os interesses relacionadas as crianças, conseguem, com os infortúnios de seus personagens, penetrar o mais íntimo espaço da imaginação e compreensão de seus leitores, o que só reafirma a sua destreza mais que especial de contar suas histórias, que não só prende o leitor, mas também o comove, o emociona, encanta e o arrasta para dentro de seus livros.</w:t>
      </w:r>
    </w:p>
    <w:p w:rsidR="004F6395" w:rsidRPr="004F6395" w:rsidRDefault="004F6395" w:rsidP="004F6395">
      <w:pPr>
        <w:ind w:firstLine="851"/>
        <w:rPr>
          <w:rFonts w:eastAsia="Calibri" w:cs="Times New Roman"/>
          <w:i/>
        </w:rPr>
      </w:pPr>
      <w:r w:rsidRPr="004F6395">
        <w:rPr>
          <w:rFonts w:eastAsia="Calibri" w:cs="Times New Roman"/>
        </w:rPr>
        <w:t>Em suas obras, a escritora cria espaços de equilíbrio e harmonia, onde não há representações de poder e de papeis fixos, mas há prazer em tudo que é feito, todos têm o direito e a oportunidade de saber e descobrir tudo aquilo que lhes instiga, e tudo gira em torno do bem estar comum, espaços esses construídos sob igualdades entre os homens, mulheres, idosos e, principalmente, crianças.</w:t>
      </w:r>
    </w:p>
    <w:p w:rsidR="004F6395" w:rsidRPr="004F6395" w:rsidRDefault="004F6395" w:rsidP="004F6395">
      <w:pPr>
        <w:ind w:firstLine="851"/>
        <w:rPr>
          <w:rFonts w:eastAsia="Calibri" w:cs="Times New Roman"/>
        </w:rPr>
      </w:pPr>
      <w:r w:rsidRPr="004F6395">
        <w:rPr>
          <w:rFonts w:eastAsia="Calibri" w:cs="Times New Roman"/>
        </w:rPr>
        <w:t>O leitor encontra, em todo o conjunto de livros de Lygia Bojunga, um ambiente onde a criança é livre e representada como supõe-se que deveria ser.  Um local de profícua reflexão e contemplação, que possibilita enxergar uma nova perspectiva, a partir do universo ficcional, do ser criança . Como casa de consertos em pessoa, Lygia Bojunga e seus livros, nos mostram muito mais do que ficção/entretenimento, possibilitam ir além, bem lá na essência do ser criança, na literatura e na sociedade.</w:t>
      </w:r>
    </w:p>
    <w:p w:rsidR="004F6395" w:rsidRPr="004F6395" w:rsidRDefault="004F6395" w:rsidP="004F6395">
      <w:pPr>
        <w:ind w:firstLine="0"/>
        <w:rPr>
          <w:rFonts w:eastAsia="Calibri" w:cs="Times New Roman"/>
          <w:b/>
        </w:rPr>
      </w:pPr>
    </w:p>
    <w:p w:rsidR="004F6395" w:rsidRDefault="004F6395" w:rsidP="004F6395">
      <w:pPr>
        <w:ind w:firstLine="0"/>
        <w:rPr>
          <w:rFonts w:eastAsia="Calibri" w:cs="Times New Roman"/>
          <w:b/>
        </w:rPr>
      </w:pPr>
      <w:r w:rsidRPr="004F6395">
        <w:rPr>
          <w:rFonts w:eastAsia="Calibri" w:cs="Times New Roman"/>
          <w:b/>
        </w:rPr>
        <w:t>REFERÊNCIAS:</w:t>
      </w:r>
    </w:p>
    <w:p w:rsidR="00B42B6C" w:rsidRPr="004F6395" w:rsidRDefault="00B42B6C" w:rsidP="004F6395">
      <w:pPr>
        <w:ind w:firstLine="0"/>
        <w:rPr>
          <w:rFonts w:eastAsia="Calibri" w:cs="Times New Roman"/>
          <w:b/>
        </w:rPr>
      </w:pPr>
    </w:p>
    <w:p w:rsidR="004F6395" w:rsidRPr="004F6395" w:rsidRDefault="004F6395" w:rsidP="004F6395">
      <w:pPr>
        <w:ind w:firstLine="0"/>
        <w:rPr>
          <w:rFonts w:eastAsia="Calibri" w:cs="Times New Roman"/>
        </w:rPr>
      </w:pPr>
      <w:r w:rsidRPr="004F6395">
        <w:rPr>
          <w:rFonts w:eastAsia="Calibri" w:cs="Times New Roman"/>
        </w:rPr>
        <w:t xml:space="preserve">AMARILHA, M. </w:t>
      </w:r>
      <w:r w:rsidRPr="004F6395">
        <w:rPr>
          <w:rFonts w:eastAsia="Calibri" w:cs="Times New Roman"/>
          <w:i/>
        </w:rPr>
        <w:t>Estão mortas as fadas?</w:t>
      </w:r>
      <w:r w:rsidRPr="004F6395">
        <w:rPr>
          <w:rFonts w:eastAsia="Calibri" w:cs="Times New Roman"/>
        </w:rPr>
        <w:t xml:space="preserve"> 8 ed. Petrópolis: Vozes, 2009.</w:t>
      </w:r>
    </w:p>
    <w:p w:rsidR="004F6395" w:rsidRPr="004F6395" w:rsidRDefault="004F6395" w:rsidP="004F6395">
      <w:pPr>
        <w:ind w:firstLine="0"/>
        <w:rPr>
          <w:rFonts w:eastAsia="Calibri" w:cs="Times New Roman"/>
        </w:rPr>
      </w:pPr>
      <w:r w:rsidRPr="004F6395">
        <w:rPr>
          <w:rFonts w:eastAsia="Calibri" w:cs="Times New Roman"/>
        </w:rPr>
        <w:t xml:space="preserve">ANDO, M. Y.; SILVA, R. M. G. </w:t>
      </w:r>
      <w:r w:rsidRPr="004F6395">
        <w:rPr>
          <w:rFonts w:eastAsia="Calibri" w:cs="Times New Roman"/>
          <w:i/>
        </w:rPr>
        <w:t>Entre lágrimas e adeuses: a imagem feminina e a formação do leitor em "Tchau" de Lygia Bojunga Nunes</w:t>
      </w:r>
      <w:r w:rsidRPr="004F6395">
        <w:rPr>
          <w:rFonts w:eastAsia="Calibri" w:cs="Times New Roman"/>
        </w:rPr>
        <w:t xml:space="preserve">. </w:t>
      </w:r>
      <w:proofErr w:type="spellStart"/>
      <w:r w:rsidRPr="004F6395">
        <w:rPr>
          <w:rFonts w:eastAsia="Calibri" w:cs="Times New Roman"/>
        </w:rPr>
        <w:t>Ipotesi</w:t>
      </w:r>
      <w:proofErr w:type="spellEnd"/>
      <w:r w:rsidRPr="004F6395">
        <w:rPr>
          <w:rFonts w:eastAsia="Calibri" w:cs="Times New Roman"/>
        </w:rPr>
        <w:t>, Juiz de Fora, v. 11, p. 143-156, Janeiro 2007. ISSN 1982-0836.</w:t>
      </w:r>
    </w:p>
    <w:p w:rsidR="004F6395" w:rsidRPr="004F6395" w:rsidRDefault="004F6395" w:rsidP="004F6395">
      <w:pPr>
        <w:ind w:firstLine="0"/>
        <w:rPr>
          <w:rFonts w:eastAsia="Calibri" w:cs="Times New Roman"/>
        </w:rPr>
      </w:pPr>
      <w:r w:rsidRPr="004F6395">
        <w:rPr>
          <w:rFonts w:eastAsia="Calibri" w:cs="Times New Roman"/>
        </w:rPr>
        <w:t xml:space="preserve">BOJUNGA, L. </w:t>
      </w:r>
      <w:r w:rsidRPr="004F6395">
        <w:rPr>
          <w:rFonts w:eastAsia="Calibri" w:cs="Times New Roman"/>
          <w:i/>
        </w:rPr>
        <w:t>A bolsa amarela</w:t>
      </w:r>
      <w:r w:rsidRPr="004F6395">
        <w:rPr>
          <w:rFonts w:eastAsia="Calibri" w:cs="Times New Roman"/>
        </w:rPr>
        <w:t>. 34 ed. Rio de Janeiro: Casa Lygia Bojunga, 2007.</w:t>
      </w:r>
    </w:p>
    <w:p w:rsidR="004F6395" w:rsidRPr="004F6395" w:rsidRDefault="004F6395" w:rsidP="004F6395">
      <w:pPr>
        <w:ind w:firstLine="0"/>
        <w:rPr>
          <w:rFonts w:eastAsia="Calibri" w:cs="Times New Roman"/>
        </w:rPr>
      </w:pPr>
      <w:r w:rsidRPr="004F6395">
        <w:rPr>
          <w:rFonts w:eastAsia="Calibri" w:cs="Times New Roman"/>
        </w:rPr>
        <w:t xml:space="preserve">BOJUNGA, L. </w:t>
      </w:r>
      <w:r w:rsidRPr="004F6395">
        <w:rPr>
          <w:rFonts w:eastAsia="Calibri" w:cs="Times New Roman"/>
          <w:i/>
        </w:rPr>
        <w:t>A casa da madrinha</w:t>
      </w:r>
      <w:r w:rsidRPr="004F6395">
        <w:rPr>
          <w:rFonts w:eastAsia="Calibri" w:cs="Times New Roman"/>
        </w:rPr>
        <w:t>. 20 ed. Rio de Janeiro: Casa Lygia Bojunga, 2017.</w:t>
      </w:r>
    </w:p>
    <w:p w:rsidR="004F6395" w:rsidRPr="004F6395" w:rsidRDefault="004F6395" w:rsidP="004F6395">
      <w:pPr>
        <w:ind w:firstLine="0"/>
        <w:rPr>
          <w:rFonts w:eastAsia="Calibri" w:cs="Times New Roman"/>
        </w:rPr>
      </w:pPr>
      <w:r w:rsidRPr="004F6395">
        <w:rPr>
          <w:rFonts w:eastAsia="Calibri" w:cs="Times New Roman"/>
        </w:rPr>
        <w:t xml:space="preserve">BOJUNGA, L. </w:t>
      </w:r>
      <w:r w:rsidRPr="004F6395">
        <w:rPr>
          <w:rFonts w:eastAsia="Calibri" w:cs="Times New Roman"/>
          <w:i/>
        </w:rPr>
        <w:t>Angélica</w:t>
      </w:r>
      <w:r w:rsidRPr="004F6395">
        <w:rPr>
          <w:rFonts w:eastAsia="Calibri" w:cs="Times New Roman"/>
        </w:rPr>
        <w:t>. 23 ed. Rio de Janeiro: Casa Lygia Bojunga, 2004.</w:t>
      </w:r>
    </w:p>
    <w:p w:rsidR="004F6395" w:rsidRPr="004F6395" w:rsidRDefault="004F6395" w:rsidP="004F6395">
      <w:pPr>
        <w:ind w:firstLine="0"/>
        <w:rPr>
          <w:rFonts w:eastAsia="Calibri" w:cs="Times New Roman"/>
        </w:rPr>
      </w:pPr>
      <w:r w:rsidRPr="004F6395">
        <w:rPr>
          <w:rFonts w:eastAsia="Calibri" w:cs="Times New Roman"/>
        </w:rPr>
        <w:t xml:space="preserve">BOJUNGA, L. </w:t>
      </w:r>
      <w:r w:rsidRPr="004F6395">
        <w:rPr>
          <w:rFonts w:eastAsia="Calibri" w:cs="Times New Roman"/>
          <w:i/>
        </w:rPr>
        <w:t>Os colegas</w:t>
      </w:r>
      <w:r w:rsidRPr="004F6395">
        <w:rPr>
          <w:rFonts w:eastAsia="Calibri" w:cs="Times New Roman"/>
        </w:rPr>
        <w:t>. 52 ed. Rio de Janeiro: Casa Lygia Bojunga, 2014.</w:t>
      </w:r>
    </w:p>
    <w:p w:rsidR="004F6395" w:rsidRPr="004F6395" w:rsidRDefault="004F6395" w:rsidP="004F6395">
      <w:pPr>
        <w:ind w:firstLine="0"/>
        <w:rPr>
          <w:rFonts w:eastAsia="Calibri" w:cs="Times New Roman"/>
        </w:rPr>
      </w:pPr>
      <w:r w:rsidRPr="004F6395">
        <w:rPr>
          <w:rFonts w:eastAsia="Calibri" w:cs="Times New Roman"/>
        </w:rPr>
        <w:lastRenderedPageBreak/>
        <w:t xml:space="preserve">BOJUNGA, L. </w:t>
      </w:r>
      <w:r w:rsidRPr="004F6395">
        <w:rPr>
          <w:rFonts w:eastAsia="Calibri" w:cs="Times New Roman"/>
          <w:i/>
        </w:rPr>
        <w:t>O Sofá Estampado</w:t>
      </w:r>
      <w:r w:rsidRPr="004F6395">
        <w:rPr>
          <w:rFonts w:eastAsia="Calibri" w:cs="Times New Roman"/>
        </w:rPr>
        <w:t>. 32 ed. Rio de Janeiro: Casa Lygia Bojunga, 2015.</w:t>
      </w:r>
    </w:p>
    <w:p w:rsidR="004F6395" w:rsidRPr="004F6395" w:rsidRDefault="004F6395" w:rsidP="004F6395">
      <w:pPr>
        <w:ind w:firstLine="0"/>
        <w:rPr>
          <w:rFonts w:eastAsia="Calibri" w:cs="Times New Roman"/>
        </w:rPr>
      </w:pPr>
      <w:r w:rsidRPr="004F6395">
        <w:rPr>
          <w:rFonts w:eastAsia="Calibri" w:cs="Times New Roman"/>
        </w:rPr>
        <w:t xml:space="preserve">CADEMARTORI, L. </w:t>
      </w:r>
      <w:r w:rsidRPr="004F6395">
        <w:rPr>
          <w:rFonts w:eastAsia="Calibri" w:cs="Times New Roman"/>
          <w:i/>
        </w:rPr>
        <w:t>O que é literatura infantil</w:t>
      </w:r>
      <w:r w:rsidRPr="004F6395">
        <w:rPr>
          <w:rFonts w:eastAsia="Calibri" w:cs="Times New Roman"/>
        </w:rPr>
        <w:t>. 7 ed. São Paulo: Brasiliense, 2006.</w:t>
      </w:r>
    </w:p>
    <w:p w:rsidR="004F6395" w:rsidRPr="004F6395" w:rsidRDefault="004F6395" w:rsidP="004F6395">
      <w:pPr>
        <w:ind w:firstLine="0"/>
        <w:rPr>
          <w:rFonts w:eastAsia="Calibri" w:cs="Times New Roman"/>
        </w:rPr>
      </w:pPr>
      <w:r w:rsidRPr="004F6395">
        <w:rPr>
          <w:rFonts w:eastAsia="Calibri" w:cs="Times New Roman"/>
        </w:rPr>
        <w:t xml:space="preserve">CANDIDO, A. </w:t>
      </w:r>
      <w:r w:rsidRPr="004F6395">
        <w:rPr>
          <w:rFonts w:eastAsia="Calibri" w:cs="Times New Roman"/>
          <w:i/>
        </w:rPr>
        <w:t>O direito à literatura</w:t>
      </w:r>
      <w:r w:rsidRPr="004F6395">
        <w:rPr>
          <w:rFonts w:eastAsia="Calibri" w:cs="Times New Roman"/>
        </w:rPr>
        <w:t>. In: CANDIDO, A. Vários escritores. Rio de Janeiro/São Paulo: Ouro sobre azul/ Duas cidades, 2004. Cap. 1, p. 169-191.</w:t>
      </w:r>
    </w:p>
    <w:p w:rsidR="004F6395" w:rsidRPr="004F6395" w:rsidRDefault="004F6395" w:rsidP="004F6395">
      <w:pPr>
        <w:ind w:firstLine="0"/>
        <w:rPr>
          <w:rFonts w:eastAsia="Calibri" w:cs="Times New Roman"/>
        </w:rPr>
      </w:pPr>
      <w:r w:rsidRPr="004F6395">
        <w:rPr>
          <w:rFonts w:eastAsia="Calibri" w:cs="Times New Roman"/>
        </w:rPr>
        <w:t xml:space="preserve">COELHO, N. N. </w:t>
      </w:r>
      <w:r w:rsidRPr="004F6395">
        <w:rPr>
          <w:rFonts w:eastAsia="Calibri" w:cs="Times New Roman"/>
          <w:i/>
        </w:rPr>
        <w:t>Literatura infantil: análise, teoria e didática</w:t>
      </w:r>
      <w:r w:rsidRPr="004F6395">
        <w:rPr>
          <w:rFonts w:eastAsia="Calibri" w:cs="Times New Roman"/>
        </w:rPr>
        <w:t>. São Paulo: Moderna, 2000.</w:t>
      </w:r>
    </w:p>
    <w:p w:rsidR="004F6395" w:rsidRPr="004F6395" w:rsidRDefault="004F6395" w:rsidP="004F6395">
      <w:pPr>
        <w:ind w:firstLine="0"/>
        <w:rPr>
          <w:rFonts w:eastAsia="Calibri" w:cs="Times New Roman"/>
        </w:rPr>
      </w:pPr>
      <w:r w:rsidRPr="004F6395">
        <w:rPr>
          <w:rFonts w:eastAsia="Calibri" w:cs="Times New Roman"/>
        </w:rPr>
        <w:t xml:space="preserve">GIL, A. C. </w:t>
      </w:r>
      <w:r w:rsidRPr="004F6395">
        <w:rPr>
          <w:rFonts w:eastAsia="Calibri" w:cs="Times New Roman"/>
          <w:i/>
        </w:rPr>
        <w:t>Como Elaborar Projeto de Pesquisa</w:t>
      </w:r>
      <w:r w:rsidRPr="004F6395">
        <w:rPr>
          <w:rFonts w:eastAsia="Calibri" w:cs="Times New Roman"/>
        </w:rPr>
        <w:t>. 5 ed. São Paulo: Atlas, 2002.</w:t>
      </w:r>
    </w:p>
    <w:p w:rsidR="004F6395" w:rsidRPr="004F6395" w:rsidRDefault="004F6395" w:rsidP="004F6395">
      <w:pPr>
        <w:ind w:firstLine="0"/>
        <w:rPr>
          <w:rFonts w:eastAsia="Calibri" w:cs="Times New Roman"/>
        </w:rPr>
      </w:pPr>
      <w:r w:rsidRPr="004F6395">
        <w:rPr>
          <w:rFonts w:eastAsia="Calibri" w:cs="Times New Roman"/>
        </w:rPr>
        <w:t xml:space="preserve">MARCONI, M. A.; LAKATOS, E. M. </w:t>
      </w:r>
      <w:r w:rsidRPr="004F6395">
        <w:rPr>
          <w:rFonts w:eastAsia="Calibri" w:cs="Times New Roman"/>
          <w:i/>
        </w:rPr>
        <w:t>Fundamentos de metodologia científica</w:t>
      </w:r>
      <w:r w:rsidRPr="004F6395">
        <w:rPr>
          <w:rFonts w:eastAsia="Calibri" w:cs="Times New Roman"/>
        </w:rPr>
        <w:t>. 5 ed. São Paulo: Atlas, 2003.</w:t>
      </w:r>
    </w:p>
    <w:p w:rsidR="004F6395" w:rsidRPr="004F6395" w:rsidRDefault="004F6395" w:rsidP="004F6395">
      <w:pPr>
        <w:ind w:firstLine="0"/>
        <w:rPr>
          <w:rFonts w:eastAsia="Calibri" w:cs="Times New Roman"/>
        </w:rPr>
      </w:pPr>
      <w:r w:rsidRPr="004F6395">
        <w:rPr>
          <w:rFonts w:eastAsia="Calibri" w:cs="Times New Roman"/>
        </w:rPr>
        <w:t xml:space="preserve">PIRES, F. D. A. R. </w:t>
      </w:r>
      <w:r w:rsidRPr="004F6395">
        <w:rPr>
          <w:rFonts w:eastAsia="Calibri" w:cs="Times New Roman"/>
          <w:i/>
        </w:rPr>
        <w:t>A Literatura de Lygia Bojunga Nunes: o real e o fantástico como instrumentos de denúncia dos problemas sociais de crianças e adolescentes</w:t>
      </w:r>
      <w:r w:rsidRPr="004F6395">
        <w:rPr>
          <w:rFonts w:eastAsia="Calibri" w:cs="Times New Roman"/>
        </w:rPr>
        <w:t>. Porto Alegre: [s.n.], 2013.</w:t>
      </w:r>
    </w:p>
    <w:p w:rsidR="004F6395" w:rsidRPr="004F6395" w:rsidRDefault="004F6395" w:rsidP="004F6395">
      <w:pPr>
        <w:ind w:firstLine="0"/>
        <w:rPr>
          <w:rFonts w:eastAsia="Calibri" w:cs="Times New Roman"/>
        </w:rPr>
      </w:pPr>
      <w:r w:rsidRPr="004F6395">
        <w:rPr>
          <w:rFonts w:eastAsia="Calibri" w:cs="Times New Roman"/>
        </w:rPr>
        <w:t xml:space="preserve">SANDRONI, L. </w:t>
      </w:r>
      <w:r w:rsidRPr="004F6395">
        <w:rPr>
          <w:rFonts w:eastAsia="Calibri" w:cs="Times New Roman"/>
          <w:i/>
        </w:rPr>
        <w:t>De Lobato a Bojunga: As reinações renovadas</w:t>
      </w:r>
      <w:r w:rsidRPr="004F6395">
        <w:rPr>
          <w:rFonts w:eastAsia="Calibri" w:cs="Times New Roman"/>
        </w:rPr>
        <w:t>. 2 ed. Rio de Janeiro: Nova Fronteira, 2011.</w:t>
      </w:r>
    </w:p>
    <w:p w:rsidR="004F6395" w:rsidRPr="004F6395" w:rsidRDefault="004F6395" w:rsidP="004F6395">
      <w:pPr>
        <w:ind w:firstLine="0"/>
        <w:rPr>
          <w:rFonts w:eastAsia="Calibri" w:cs="Times New Roman"/>
        </w:rPr>
      </w:pPr>
      <w:r w:rsidRPr="004F6395">
        <w:rPr>
          <w:rFonts w:eastAsia="Calibri" w:cs="Times New Roman"/>
        </w:rPr>
        <w:t xml:space="preserve">ZILBERMAN, R. </w:t>
      </w:r>
      <w:r w:rsidRPr="004F6395">
        <w:rPr>
          <w:rFonts w:eastAsia="Calibri" w:cs="Times New Roman"/>
          <w:i/>
        </w:rPr>
        <w:t>Como e por que ler a literatura infantil brasileira</w:t>
      </w:r>
      <w:r w:rsidRPr="004F6395">
        <w:rPr>
          <w:rFonts w:eastAsia="Calibri" w:cs="Times New Roman"/>
        </w:rPr>
        <w:t>. Rio de Janeiro: Objetiva, 2005</w:t>
      </w:r>
      <w:r w:rsidRPr="004F6395">
        <w:rPr>
          <w:rFonts w:eastAsia="Calibri" w:cs="Times New Roman"/>
          <w:noProof/>
        </w:rPr>
        <w:drawing>
          <wp:anchor distT="0" distB="0" distL="114300" distR="114300" simplePos="0" relativeHeight="251659264" behindDoc="1" locked="0" layoutInCell="1" allowOverlap="1">
            <wp:simplePos x="0" y="0"/>
            <wp:positionH relativeFrom="column">
              <wp:posOffset>701040</wp:posOffset>
            </wp:positionH>
            <wp:positionV relativeFrom="paragraph">
              <wp:posOffset>786765</wp:posOffset>
            </wp:positionV>
            <wp:extent cx="3876675" cy="311467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6395">
        <w:rPr>
          <w:rFonts w:eastAsia="Calibri" w:cs="Times New Roman"/>
        </w:rPr>
        <w:t>.</w:t>
      </w:r>
    </w:p>
    <w:p w:rsidR="004F6395" w:rsidRPr="004F6395" w:rsidRDefault="004F6395" w:rsidP="004F6395">
      <w:pPr>
        <w:ind w:firstLine="0"/>
        <w:rPr>
          <w:rFonts w:eastAsia="Calibri" w:cs="Times New Roman"/>
        </w:rPr>
      </w:pPr>
    </w:p>
    <w:p w:rsidR="00667B21" w:rsidRPr="004F6395" w:rsidRDefault="00667B21" w:rsidP="004F6395"/>
    <w:sectPr w:rsidR="00667B21" w:rsidRPr="004F6395">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65B" w:rsidRDefault="008F065B" w:rsidP="004C7AB7">
      <w:pPr>
        <w:spacing w:line="240" w:lineRule="auto"/>
      </w:pPr>
      <w:r>
        <w:separator/>
      </w:r>
    </w:p>
  </w:endnote>
  <w:endnote w:type="continuationSeparator" w:id="0">
    <w:p w:rsidR="008F065B" w:rsidRDefault="008F065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65B" w:rsidRDefault="008F065B" w:rsidP="004C7AB7">
      <w:pPr>
        <w:spacing w:line="240" w:lineRule="auto"/>
      </w:pPr>
      <w:r>
        <w:separator/>
      </w:r>
    </w:p>
  </w:footnote>
  <w:footnote w:type="continuationSeparator" w:id="0">
    <w:p w:rsidR="008F065B" w:rsidRDefault="008F065B"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8F065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8F065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23DC8"/>
    <w:rsid w:val="00140C4F"/>
    <w:rsid w:val="00200DAB"/>
    <w:rsid w:val="00237CE0"/>
    <w:rsid w:val="00245B80"/>
    <w:rsid w:val="0024780B"/>
    <w:rsid w:val="00292BFF"/>
    <w:rsid w:val="002B6CA6"/>
    <w:rsid w:val="00350FAD"/>
    <w:rsid w:val="003730CF"/>
    <w:rsid w:val="003954AB"/>
    <w:rsid w:val="0044735C"/>
    <w:rsid w:val="00497918"/>
    <w:rsid w:val="004C7AB7"/>
    <w:rsid w:val="004D30B1"/>
    <w:rsid w:val="004F6395"/>
    <w:rsid w:val="00500771"/>
    <w:rsid w:val="00577DD1"/>
    <w:rsid w:val="005E77E8"/>
    <w:rsid w:val="005F4ECF"/>
    <w:rsid w:val="00605E7E"/>
    <w:rsid w:val="00667B21"/>
    <w:rsid w:val="006A6C8E"/>
    <w:rsid w:val="006D6939"/>
    <w:rsid w:val="007066D2"/>
    <w:rsid w:val="00716FBF"/>
    <w:rsid w:val="00835CBE"/>
    <w:rsid w:val="00841468"/>
    <w:rsid w:val="008601D2"/>
    <w:rsid w:val="00865382"/>
    <w:rsid w:val="008D6206"/>
    <w:rsid w:val="008F065B"/>
    <w:rsid w:val="00975E96"/>
    <w:rsid w:val="00A056B4"/>
    <w:rsid w:val="00A141BB"/>
    <w:rsid w:val="00A14424"/>
    <w:rsid w:val="00AF4360"/>
    <w:rsid w:val="00B346F1"/>
    <w:rsid w:val="00B42B6C"/>
    <w:rsid w:val="00B548B5"/>
    <w:rsid w:val="00B94D7D"/>
    <w:rsid w:val="00C330DA"/>
    <w:rsid w:val="00CB6B28"/>
    <w:rsid w:val="00CF5555"/>
    <w:rsid w:val="00D13E5E"/>
    <w:rsid w:val="00D57D31"/>
    <w:rsid w:val="00E2792E"/>
    <w:rsid w:val="00E46640"/>
    <w:rsid w:val="00EA6FDC"/>
    <w:rsid w:val="00F55312"/>
    <w:rsid w:val="00F63EFB"/>
    <w:rsid w:val="00F90F1E"/>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7F8132C"/>
  <w15:docId w15:val="{61DFD8E5-8019-4819-B221-D523A721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F63EFB"/>
    <w:pPr>
      <w:spacing w:line="240" w:lineRule="auto"/>
      <w:ind w:firstLine="0"/>
    </w:pPr>
    <w:rPr>
      <w:rFonts w:eastAsia="Calibri" w:cs="Times New Roman"/>
      <w:sz w:val="20"/>
      <w:szCs w:val="20"/>
    </w:rPr>
  </w:style>
  <w:style w:type="character" w:customStyle="1" w:styleId="TextodenotaderodapChar">
    <w:name w:val="Texto de nota de rodapé Char"/>
    <w:basedOn w:val="Fontepargpadro"/>
    <w:link w:val="Textodenotaderodap"/>
    <w:uiPriority w:val="99"/>
    <w:semiHidden/>
    <w:rsid w:val="00F63EFB"/>
    <w:rPr>
      <w:rFonts w:ascii="Times New Roman" w:eastAsia="Calibri" w:hAnsi="Times New Roman" w:cs="Times New Roman"/>
      <w:sz w:val="20"/>
      <w:szCs w:val="20"/>
    </w:rPr>
  </w:style>
  <w:style w:type="character" w:styleId="Refdenotaderodap">
    <w:name w:val="footnote reference"/>
    <w:uiPriority w:val="99"/>
    <w:semiHidden/>
    <w:unhideWhenUsed/>
    <w:rsid w:val="00F63EFB"/>
    <w:rPr>
      <w:vertAlign w:val="superscript"/>
    </w:rPr>
  </w:style>
  <w:style w:type="paragraph" w:styleId="Textodecomentrio">
    <w:name w:val="annotation text"/>
    <w:basedOn w:val="Normal"/>
    <w:link w:val="TextodecomentrioChar"/>
    <w:uiPriority w:val="99"/>
    <w:semiHidden/>
    <w:unhideWhenUsed/>
    <w:rsid w:val="004F639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F6395"/>
    <w:rPr>
      <w:rFonts w:ascii="Times New Roman" w:hAnsi="Times New Roman"/>
      <w:sz w:val="20"/>
      <w:szCs w:val="20"/>
    </w:rPr>
  </w:style>
  <w:style w:type="character" w:styleId="Refdecomentrio">
    <w:name w:val="annotation reference"/>
    <w:uiPriority w:val="99"/>
    <w:semiHidden/>
    <w:unhideWhenUsed/>
    <w:rsid w:val="004F6395"/>
    <w:rPr>
      <w:sz w:val="16"/>
      <w:szCs w:val="16"/>
    </w:rPr>
  </w:style>
  <w:style w:type="paragraph" w:styleId="Textodebalo">
    <w:name w:val="Balloon Text"/>
    <w:basedOn w:val="Normal"/>
    <w:link w:val="TextodebaloChar"/>
    <w:uiPriority w:val="99"/>
    <w:semiHidden/>
    <w:unhideWhenUsed/>
    <w:rsid w:val="004F6395"/>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F6395"/>
    <w:rPr>
      <w:rFonts w:ascii="Segoe UI" w:hAnsi="Segoe UI" w:cs="Segoe UI"/>
      <w:sz w:val="18"/>
      <w:szCs w:val="18"/>
    </w:rPr>
  </w:style>
  <w:style w:type="character" w:styleId="Hyperlink">
    <w:name w:val="Hyperlink"/>
    <w:basedOn w:val="Fontepargpadro"/>
    <w:uiPriority w:val="99"/>
    <w:unhideWhenUsed/>
    <w:rsid w:val="005E77E8"/>
    <w:rPr>
      <w:color w:val="0563C1" w:themeColor="hyperlink"/>
      <w:u w:val="single"/>
    </w:rPr>
  </w:style>
  <w:style w:type="character" w:styleId="MenoPendente">
    <w:name w:val="Unresolved Mention"/>
    <w:basedOn w:val="Fontepargpadro"/>
    <w:uiPriority w:val="99"/>
    <w:semiHidden/>
    <w:unhideWhenUsed/>
    <w:rsid w:val="005E7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931191">
      <w:bodyDiv w:val="1"/>
      <w:marLeft w:val="0"/>
      <w:marRight w:val="0"/>
      <w:marTop w:val="0"/>
      <w:marBottom w:val="0"/>
      <w:divBdr>
        <w:top w:val="none" w:sz="0" w:space="0" w:color="auto"/>
        <w:left w:val="none" w:sz="0" w:space="0" w:color="auto"/>
        <w:bottom w:val="none" w:sz="0" w:space="0" w:color="auto"/>
        <w:right w:val="none" w:sz="0" w:space="0" w:color="auto"/>
      </w:divBdr>
    </w:div>
    <w:div w:id="204455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47924-F33D-47E9-B116-A4EC22A76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11</Pages>
  <Words>4060</Words>
  <Characters>21929</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Lourena Queiroz</cp:lastModifiedBy>
  <cp:revision>11</cp:revision>
  <dcterms:created xsi:type="dcterms:W3CDTF">2018-09-24T15:42:00Z</dcterms:created>
  <dcterms:modified xsi:type="dcterms:W3CDTF">2018-10-15T12:42:00Z</dcterms:modified>
</cp:coreProperties>
</file>