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75A2B" w14:textId="5F311F72" w:rsidR="00122E52" w:rsidRDefault="00122E52" w:rsidP="00A369B6">
      <w:pPr>
        <w:pStyle w:val="Ttulo2"/>
        <w:jc w:val="center"/>
        <w:rPr>
          <w:rFonts w:ascii="Times New Roman" w:hAnsi="Times New Roman" w:cs="Times New Roman"/>
          <w:b/>
          <w:color w:val="auto"/>
          <w:sz w:val="24"/>
          <w:szCs w:val="24"/>
        </w:rPr>
      </w:pPr>
      <w:bookmarkStart w:id="0" w:name="_Toc516767397"/>
      <w:bookmarkStart w:id="1" w:name="_Toc516767830"/>
      <w:r>
        <w:rPr>
          <w:rFonts w:ascii="Times New Roman" w:hAnsi="Times New Roman" w:cs="Times New Roman"/>
          <w:b/>
          <w:color w:val="auto"/>
          <w:sz w:val="24"/>
          <w:szCs w:val="24"/>
        </w:rPr>
        <w:t>PAU DOS FERROS</w:t>
      </w:r>
      <w:r w:rsidR="00AA64A4">
        <w:rPr>
          <w:rFonts w:ascii="Times New Roman" w:hAnsi="Times New Roman" w:cs="Times New Roman"/>
          <w:b/>
          <w:color w:val="auto"/>
          <w:sz w:val="24"/>
          <w:szCs w:val="24"/>
        </w:rPr>
        <w:t>-RN</w:t>
      </w:r>
      <w:r>
        <w:rPr>
          <w:rFonts w:ascii="Times New Roman" w:hAnsi="Times New Roman" w:cs="Times New Roman"/>
          <w:b/>
          <w:color w:val="auto"/>
          <w:sz w:val="24"/>
          <w:szCs w:val="24"/>
        </w:rPr>
        <w:t xml:space="preserve">: CONSIDERAÇÕES SOBRE A </w:t>
      </w:r>
      <w:r w:rsidR="00DD23E8">
        <w:rPr>
          <w:rFonts w:ascii="Times New Roman" w:hAnsi="Times New Roman" w:cs="Times New Roman"/>
          <w:b/>
          <w:color w:val="auto"/>
          <w:sz w:val="24"/>
          <w:szCs w:val="24"/>
        </w:rPr>
        <w:t xml:space="preserve">URBANIZAÇÃO E A DISTRIBUIÇÃO DA </w:t>
      </w:r>
      <w:r>
        <w:rPr>
          <w:rFonts w:ascii="Times New Roman" w:hAnsi="Times New Roman" w:cs="Times New Roman"/>
          <w:b/>
          <w:color w:val="auto"/>
          <w:sz w:val="24"/>
          <w:szCs w:val="24"/>
        </w:rPr>
        <w:t>POPULAÇÃO</w:t>
      </w:r>
      <w:r w:rsidR="00DD23E8">
        <w:rPr>
          <w:rFonts w:ascii="Times New Roman" w:hAnsi="Times New Roman" w:cs="Times New Roman"/>
          <w:b/>
          <w:color w:val="auto"/>
          <w:sz w:val="24"/>
          <w:szCs w:val="24"/>
        </w:rPr>
        <w:t xml:space="preserve"> CIDADE</w:t>
      </w:r>
    </w:p>
    <w:p w14:paraId="2CF75A2C" w14:textId="77777777" w:rsidR="000D2C76" w:rsidRPr="000D2C76" w:rsidRDefault="000D2C76" w:rsidP="000D2C76"/>
    <w:p w14:paraId="2CF75A2D" w14:textId="77777777" w:rsidR="00122E52" w:rsidRPr="000D2C76" w:rsidRDefault="000D2C76" w:rsidP="000D2C76">
      <w:pPr>
        <w:spacing w:line="240" w:lineRule="auto"/>
        <w:jc w:val="center"/>
        <w:rPr>
          <w:b/>
        </w:rPr>
      </w:pPr>
      <w:r w:rsidRPr="000D2C76">
        <w:rPr>
          <w:b/>
        </w:rPr>
        <w:t>GT - 25</w:t>
      </w:r>
    </w:p>
    <w:p w14:paraId="2CF75A2E" w14:textId="77777777" w:rsidR="00122E52" w:rsidRDefault="00122E52" w:rsidP="00CC648E">
      <w:pPr>
        <w:spacing w:line="240" w:lineRule="auto"/>
        <w:jc w:val="right"/>
        <w:rPr>
          <w:i/>
        </w:rPr>
      </w:pPr>
      <w:r>
        <w:rPr>
          <w:i/>
        </w:rPr>
        <w:t xml:space="preserve">Jackson </w:t>
      </w:r>
      <w:proofErr w:type="spellStart"/>
      <w:r>
        <w:rPr>
          <w:i/>
        </w:rPr>
        <w:t>Rayron</w:t>
      </w:r>
      <w:proofErr w:type="spellEnd"/>
      <w:r>
        <w:rPr>
          <w:i/>
        </w:rPr>
        <w:t xml:space="preserve"> Monteiro</w:t>
      </w:r>
    </w:p>
    <w:p w14:paraId="2CF75A2F" w14:textId="77777777" w:rsidR="00B47F7D" w:rsidRDefault="00B47F7D" w:rsidP="00CC648E">
      <w:pPr>
        <w:spacing w:line="240" w:lineRule="auto"/>
        <w:jc w:val="right"/>
        <w:rPr>
          <w:sz w:val="20"/>
          <w:szCs w:val="20"/>
        </w:rPr>
      </w:pPr>
      <w:r>
        <w:rPr>
          <w:sz w:val="20"/>
          <w:szCs w:val="20"/>
        </w:rPr>
        <w:t>Mestrando em Planejamento e Dinâmicas Territoriais no Semiárido</w:t>
      </w:r>
      <w:r w:rsidR="00CC648E">
        <w:rPr>
          <w:sz w:val="20"/>
          <w:szCs w:val="20"/>
        </w:rPr>
        <w:t xml:space="preserve"> (PLANDITES/UERN)</w:t>
      </w:r>
    </w:p>
    <w:p w14:paraId="2CF75A30" w14:textId="77777777" w:rsidR="00B47F7D" w:rsidRPr="00B47F7D" w:rsidRDefault="001B23BF" w:rsidP="00CC648E">
      <w:pPr>
        <w:spacing w:line="240" w:lineRule="auto"/>
        <w:jc w:val="right"/>
        <w:rPr>
          <w:sz w:val="20"/>
          <w:szCs w:val="20"/>
        </w:rPr>
      </w:pPr>
      <w:hyperlink r:id="rId8" w:history="1">
        <w:r w:rsidR="00B47F7D" w:rsidRPr="008A5CE9">
          <w:rPr>
            <w:rStyle w:val="Hyperlink"/>
            <w:sz w:val="20"/>
            <w:szCs w:val="20"/>
          </w:rPr>
          <w:t>Jackjones2013@bol.com.br</w:t>
        </w:r>
      </w:hyperlink>
      <w:r w:rsidR="00B47F7D">
        <w:rPr>
          <w:sz w:val="20"/>
          <w:szCs w:val="20"/>
        </w:rPr>
        <w:t xml:space="preserve"> </w:t>
      </w:r>
    </w:p>
    <w:p w14:paraId="3CAAF4F7" w14:textId="77777777" w:rsidR="00F52E67" w:rsidRDefault="00F52E67" w:rsidP="00F52E67">
      <w:pPr>
        <w:pStyle w:val="Textbody"/>
        <w:widowControl/>
        <w:spacing w:after="0"/>
        <w:jc w:val="right"/>
      </w:pPr>
      <w:r>
        <w:t xml:space="preserve">Renata </w:t>
      </w:r>
      <w:proofErr w:type="spellStart"/>
      <w:r>
        <w:t>Katiele</w:t>
      </w:r>
      <w:proofErr w:type="spellEnd"/>
      <w:r>
        <w:t xml:space="preserve"> da Costa Santiago</w:t>
      </w:r>
    </w:p>
    <w:p w14:paraId="058487B8" w14:textId="77777777" w:rsidR="00F52E67" w:rsidRDefault="00F52E67" w:rsidP="00F52E67">
      <w:pPr>
        <w:pStyle w:val="Textbody"/>
        <w:widowControl/>
        <w:spacing w:after="0"/>
        <w:jc w:val="right"/>
      </w:pPr>
      <w:r>
        <w:t xml:space="preserve">Graduanda em Ciências Econômicas/UERN </w:t>
      </w:r>
    </w:p>
    <w:p w14:paraId="4857451B" w14:textId="77777777" w:rsidR="00F52E67" w:rsidRPr="00215FF1" w:rsidRDefault="001B23BF" w:rsidP="00F52E67">
      <w:pPr>
        <w:pStyle w:val="Textbody"/>
        <w:widowControl/>
        <w:spacing w:after="0"/>
        <w:jc w:val="right"/>
        <w:rPr>
          <w:sz w:val="20"/>
          <w:szCs w:val="20"/>
        </w:rPr>
      </w:pPr>
      <w:hyperlink r:id="rId9" w:history="1">
        <w:r w:rsidR="00F52E67" w:rsidRPr="00215FF1">
          <w:rPr>
            <w:rStyle w:val="Hyperlink"/>
            <w:sz w:val="20"/>
            <w:szCs w:val="20"/>
          </w:rPr>
          <w:t>kathiele19@hotmail.com</w:t>
        </w:r>
      </w:hyperlink>
    </w:p>
    <w:p w14:paraId="2CF75A32" w14:textId="77777777" w:rsidR="00122E52" w:rsidRDefault="00B47F7D" w:rsidP="00CC648E">
      <w:pPr>
        <w:spacing w:line="240" w:lineRule="auto"/>
        <w:jc w:val="right"/>
        <w:rPr>
          <w:i/>
        </w:rPr>
      </w:pPr>
      <w:r>
        <w:rPr>
          <w:i/>
        </w:rPr>
        <w:t xml:space="preserve">Prof. Dr. </w:t>
      </w:r>
      <w:r w:rsidR="00122E52">
        <w:rPr>
          <w:i/>
        </w:rPr>
        <w:t>Miguel Henrique da Cunha Filho</w:t>
      </w:r>
    </w:p>
    <w:p w14:paraId="2CF75A33" w14:textId="77777777" w:rsidR="00B47F7D" w:rsidRDefault="00B47F7D" w:rsidP="00CC648E">
      <w:pPr>
        <w:spacing w:line="240" w:lineRule="auto"/>
        <w:jc w:val="right"/>
        <w:rPr>
          <w:sz w:val="20"/>
          <w:szCs w:val="20"/>
        </w:rPr>
      </w:pPr>
      <w:r>
        <w:rPr>
          <w:sz w:val="20"/>
          <w:szCs w:val="20"/>
        </w:rPr>
        <w:t>Professor vinculado ao Departamento de Economia do CAMEAM-UERN</w:t>
      </w:r>
    </w:p>
    <w:p w14:paraId="2CF75A34" w14:textId="77777777" w:rsidR="00CC648E" w:rsidRPr="00B47F7D" w:rsidRDefault="001B23BF" w:rsidP="00CC648E">
      <w:pPr>
        <w:spacing w:line="240" w:lineRule="auto"/>
        <w:jc w:val="right"/>
        <w:rPr>
          <w:sz w:val="20"/>
          <w:szCs w:val="20"/>
        </w:rPr>
      </w:pPr>
      <w:hyperlink r:id="rId10" w:history="1">
        <w:r w:rsidR="00CC648E" w:rsidRPr="008A5CE9">
          <w:rPr>
            <w:rStyle w:val="Hyperlink"/>
            <w:sz w:val="20"/>
            <w:szCs w:val="20"/>
          </w:rPr>
          <w:t>mhcfilho@yahoo.com.br</w:t>
        </w:r>
      </w:hyperlink>
      <w:r w:rsidR="00CC648E">
        <w:rPr>
          <w:sz w:val="20"/>
          <w:szCs w:val="20"/>
        </w:rPr>
        <w:t xml:space="preserve"> </w:t>
      </w:r>
    </w:p>
    <w:p w14:paraId="2CF75A35" w14:textId="77777777" w:rsidR="00B47F7D" w:rsidRDefault="00B47F7D" w:rsidP="00122E52">
      <w:pPr>
        <w:jc w:val="right"/>
        <w:rPr>
          <w:sz w:val="20"/>
          <w:szCs w:val="20"/>
        </w:rPr>
      </w:pPr>
      <w:bookmarkStart w:id="2" w:name="_GoBack"/>
      <w:bookmarkEnd w:id="2"/>
    </w:p>
    <w:p w14:paraId="2CF75A36" w14:textId="77777777" w:rsidR="00185399" w:rsidRDefault="00CC648E" w:rsidP="00AA64A4">
      <w:pPr>
        <w:spacing w:line="240" w:lineRule="auto"/>
        <w:ind w:firstLine="0"/>
        <w:rPr>
          <w:rFonts w:cs="Times New Roman"/>
          <w:sz w:val="22"/>
        </w:rPr>
      </w:pPr>
      <w:r>
        <w:rPr>
          <w:b/>
          <w:sz w:val="22"/>
        </w:rPr>
        <w:t xml:space="preserve">RESUMO: </w:t>
      </w:r>
      <w:r>
        <w:rPr>
          <w:sz w:val="22"/>
        </w:rPr>
        <w:t>O estudo da urbanização não pode ser feito apenas por um viés cientifico determinado. Desse modo, uma das formas de buscar completude nessas investigações é por intermédio da interdisciplinaridade, uma vez que a urbanização é um fenômeno que est</w:t>
      </w:r>
      <w:r w:rsidR="0063234C">
        <w:rPr>
          <w:sz w:val="22"/>
        </w:rPr>
        <w:t>á vinculado tanto à</w:t>
      </w:r>
      <w:r>
        <w:rPr>
          <w:sz w:val="22"/>
        </w:rPr>
        <w:t xml:space="preserve"> Ciência Econômica</w:t>
      </w:r>
      <w:r w:rsidR="0063234C">
        <w:rPr>
          <w:sz w:val="22"/>
        </w:rPr>
        <w:t xml:space="preserve"> da mesma forma que está</w:t>
      </w:r>
      <w:r>
        <w:rPr>
          <w:sz w:val="22"/>
        </w:rPr>
        <w:t xml:space="preserve"> </w:t>
      </w:r>
      <w:r w:rsidR="0063234C">
        <w:rPr>
          <w:sz w:val="22"/>
        </w:rPr>
        <w:t xml:space="preserve">à Geografia, Arquitetura e à Sociologia. </w:t>
      </w:r>
      <w:r w:rsidR="00437216">
        <w:rPr>
          <w:sz w:val="22"/>
        </w:rPr>
        <w:t xml:space="preserve">Assim, tendo em mãos os instrumentos da interdisciplinaridade dentro da observação do fenômeno urbano, o presente trabalho tem como objetivo </w:t>
      </w:r>
      <w:r w:rsidR="00437216" w:rsidRPr="00437216">
        <w:rPr>
          <w:rFonts w:cs="Times New Roman"/>
          <w:sz w:val="22"/>
        </w:rPr>
        <w:t>introduzir no debate acadêmico dados mais consistentes sobre o processo de urbanização de Pau dos Ferros a partir do esclarecimento de como se deu tal construção</w:t>
      </w:r>
      <w:r w:rsidR="00437216">
        <w:rPr>
          <w:rFonts w:cs="Times New Roman"/>
          <w:sz w:val="22"/>
        </w:rPr>
        <w:t xml:space="preserve"> e qual órbita econômica tem circundado</w:t>
      </w:r>
      <w:r w:rsidR="00437216" w:rsidRPr="00437216">
        <w:rPr>
          <w:rFonts w:cs="Times New Roman"/>
          <w:sz w:val="22"/>
        </w:rPr>
        <w:t xml:space="preserve"> os caminhos da mesma.</w:t>
      </w:r>
      <w:r w:rsidR="00437216">
        <w:rPr>
          <w:rFonts w:cs="Times New Roman"/>
          <w:sz w:val="22"/>
        </w:rPr>
        <w:t xml:space="preserve"> Para </w:t>
      </w:r>
      <w:r w:rsidR="00967A09">
        <w:rPr>
          <w:rFonts w:cs="Times New Roman"/>
          <w:sz w:val="22"/>
        </w:rPr>
        <w:t xml:space="preserve">a realização da pesquisa, foram usados textos que esclareceram sobre o processo de urbanização da cidade e dados sobre esse mesmo fenômeno obtidos na plataforma oficial do Instituto Brasileiro de Geografia </w:t>
      </w:r>
      <w:r w:rsidR="002006F2">
        <w:rPr>
          <w:rFonts w:cs="Times New Roman"/>
          <w:sz w:val="22"/>
        </w:rPr>
        <w:t xml:space="preserve">e Estatística (IBGE). Ademais, o trabalho também é um recorte de uma Monografia sobre o papel do investimento estatal na construção do </w:t>
      </w:r>
      <w:r w:rsidR="002006F2">
        <w:rPr>
          <w:rFonts w:cs="Times New Roman"/>
          <w:i/>
          <w:sz w:val="22"/>
        </w:rPr>
        <w:t>urbano</w:t>
      </w:r>
      <w:r w:rsidR="002006F2">
        <w:rPr>
          <w:rFonts w:cs="Times New Roman"/>
          <w:sz w:val="22"/>
        </w:rPr>
        <w:t xml:space="preserve"> na cidade de Pau dos Ferros-RN apresentada em julho de 2018. </w:t>
      </w:r>
      <w:r w:rsidR="00C55108">
        <w:rPr>
          <w:rFonts w:cs="Times New Roman"/>
          <w:sz w:val="22"/>
        </w:rPr>
        <w:t>A despeito disso, será observado no trabalho que o processo de urbanização de Pau dos Ferros está em constante avanço e que sempre esteve sujeito aos itinerários to</w:t>
      </w:r>
      <w:r w:rsidR="0007359A">
        <w:rPr>
          <w:rFonts w:cs="Times New Roman"/>
          <w:sz w:val="22"/>
        </w:rPr>
        <w:t>rtuosos da economia nordestina.</w:t>
      </w:r>
    </w:p>
    <w:p w14:paraId="0CB2CBC5" w14:textId="77777777" w:rsidR="00AA64A4" w:rsidRDefault="00AA64A4" w:rsidP="00AA64A4">
      <w:pPr>
        <w:spacing w:line="240" w:lineRule="auto"/>
        <w:ind w:firstLine="0"/>
        <w:rPr>
          <w:rFonts w:cs="Times New Roman"/>
          <w:sz w:val="22"/>
        </w:rPr>
      </w:pPr>
    </w:p>
    <w:p w14:paraId="2CF75A37" w14:textId="77777777" w:rsidR="0007359A" w:rsidRPr="00185399" w:rsidRDefault="00185399" w:rsidP="00AA64A4">
      <w:pPr>
        <w:spacing w:line="240" w:lineRule="auto"/>
        <w:ind w:firstLine="0"/>
        <w:rPr>
          <w:i/>
          <w:sz w:val="22"/>
        </w:rPr>
      </w:pPr>
      <w:r>
        <w:rPr>
          <w:b/>
          <w:sz w:val="22"/>
        </w:rPr>
        <w:t>Palavras-Chave:</w:t>
      </w:r>
      <w:r>
        <w:rPr>
          <w:sz w:val="22"/>
        </w:rPr>
        <w:t xml:space="preserve"> Economia. Estado. IBGE. Processo Urbano. </w:t>
      </w:r>
    </w:p>
    <w:p w14:paraId="2CF75A38" w14:textId="77777777" w:rsidR="00122E52" w:rsidRDefault="00122E52" w:rsidP="00542AC7">
      <w:pPr>
        <w:pStyle w:val="Ttulo2"/>
        <w:rPr>
          <w:rFonts w:ascii="Times New Roman" w:hAnsi="Times New Roman" w:cs="Times New Roman"/>
          <w:color w:val="auto"/>
          <w:sz w:val="24"/>
          <w:szCs w:val="24"/>
        </w:rPr>
      </w:pPr>
    </w:p>
    <w:p w14:paraId="2CF75A39" w14:textId="77777777" w:rsidR="00122E52" w:rsidRDefault="00122E52" w:rsidP="00542AC7">
      <w:pPr>
        <w:pStyle w:val="Ttulo2"/>
        <w:rPr>
          <w:rFonts w:ascii="Times New Roman" w:hAnsi="Times New Roman" w:cs="Times New Roman"/>
          <w:color w:val="auto"/>
          <w:sz w:val="24"/>
          <w:szCs w:val="24"/>
        </w:rPr>
      </w:pPr>
    </w:p>
    <w:p w14:paraId="2CF75A3A" w14:textId="77777777" w:rsidR="00122E52" w:rsidRDefault="00122E52" w:rsidP="00122E52"/>
    <w:p w14:paraId="2CF75A3B" w14:textId="77777777" w:rsidR="00122E52" w:rsidRDefault="00122E52" w:rsidP="00122E52"/>
    <w:p w14:paraId="2CF75A3C" w14:textId="77777777" w:rsidR="00122E52" w:rsidRDefault="00122E52" w:rsidP="00122E52"/>
    <w:p w14:paraId="2CF75A3D" w14:textId="77777777" w:rsidR="00122E52" w:rsidRDefault="00122E52" w:rsidP="00122E52"/>
    <w:p w14:paraId="2CF75A3E" w14:textId="77777777" w:rsidR="00122E52" w:rsidRDefault="00122E52" w:rsidP="00122E52"/>
    <w:p w14:paraId="2CF75A3F" w14:textId="77777777" w:rsidR="00122E52" w:rsidRDefault="00122E52" w:rsidP="00122E52"/>
    <w:p w14:paraId="2CF75A40" w14:textId="77777777" w:rsidR="00122E52" w:rsidRDefault="00122E52" w:rsidP="00122E52"/>
    <w:p w14:paraId="2CF75A41" w14:textId="77777777" w:rsidR="00122E52" w:rsidRDefault="00122E52" w:rsidP="00122E52"/>
    <w:p w14:paraId="2CF75A42" w14:textId="77777777" w:rsidR="00122E52" w:rsidRDefault="00122E52" w:rsidP="00437216">
      <w:pPr>
        <w:ind w:firstLine="0"/>
      </w:pPr>
    </w:p>
    <w:p w14:paraId="423FFB0A" w14:textId="77777777" w:rsidR="00AA64A4" w:rsidRDefault="00AA64A4" w:rsidP="00437216">
      <w:pPr>
        <w:ind w:firstLine="0"/>
      </w:pPr>
    </w:p>
    <w:p w14:paraId="143333EE" w14:textId="77777777" w:rsidR="00AA64A4" w:rsidRPr="00122E52" w:rsidRDefault="00AA64A4" w:rsidP="00437216">
      <w:pPr>
        <w:ind w:firstLine="0"/>
      </w:pPr>
    </w:p>
    <w:bookmarkEnd w:id="0"/>
    <w:bookmarkEnd w:id="1"/>
    <w:p w14:paraId="2CF75A43" w14:textId="77777777" w:rsidR="00542AC7" w:rsidRDefault="00630B92" w:rsidP="00B47F7D">
      <w:pPr>
        <w:pStyle w:val="Ttulo2"/>
        <w:numPr>
          <w:ilvl w:val="0"/>
          <w:numId w:val="3"/>
        </w:numP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 xml:space="preserve">INTRODUÇÃO </w:t>
      </w:r>
    </w:p>
    <w:p w14:paraId="2CF75A44" w14:textId="77777777" w:rsidR="00630B92" w:rsidRPr="00630B92" w:rsidRDefault="00630B92" w:rsidP="00630B92"/>
    <w:p w14:paraId="2CF75A45" w14:textId="5C8056F2" w:rsidR="00542AC7" w:rsidRDefault="00542AC7" w:rsidP="00542AC7">
      <w:pPr>
        <w:rPr>
          <w:rFonts w:cs="Times New Roman"/>
          <w:szCs w:val="24"/>
        </w:rPr>
      </w:pPr>
      <w:r>
        <w:rPr>
          <w:rFonts w:cs="Times New Roman"/>
          <w:szCs w:val="24"/>
        </w:rPr>
        <w:t xml:space="preserve">Fazer um debate panorâmico sobre o processo de urbanização, independente da dimensão que se encerra como objeto de estudo, é sempre um desafio. Primeiro porque não se trata de um tema unicamente econômico, geográfico ou demográfico, mas uma congregação de todas essas ciências: é uma discussão multidisciplinar. Em segunda lugar, a urbanização também é um fenômeno intrínseco ao estudo da ciência política, já que a atuação consciente de todos os membros da sociedade pode construir novos itinerários para a construção democrática de um urbano que promova o direito a cidade para todas as classes sociais. Nessa perspectiva, o presente estudo se situa no campo da Economia Política da Urbanização e procura desenvolver uma investigação sobre </w:t>
      </w:r>
      <w:r w:rsidR="005E46BB">
        <w:rPr>
          <w:rFonts w:cs="Times New Roman"/>
          <w:szCs w:val="24"/>
        </w:rPr>
        <w:t>os caminhos</w:t>
      </w:r>
      <w:r w:rsidR="004E3C06">
        <w:rPr>
          <w:rFonts w:cs="Times New Roman"/>
          <w:szCs w:val="24"/>
        </w:rPr>
        <w:t xml:space="preserve"> trilhados pelo processo urbano na</w:t>
      </w:r>
      <w:r>
        <w:rPr>
          <w:rFonts w:cs="Times New Roman"/>
          <w:szCs w:val="24"/>
        </w:rPr>
        <w:t xml:space="preserve"> cidade de Pau dos Ferros-RN. </w:t>
      </w:r>
    </w:p>
    <w:p w14:paraId="2CF75A46" w14:textId="77777777" w:rsidR="00542AC7" w:rsidRDefault="00542AC7" w:rsidP="00542AC7">
      <w:pPr>
        <w:rPr>
          <w:rFonts w:cs="Times New Roman"/>
          <w:szCs w:val="24"/>
        </w:rPr>
      </w:pPr>
      <w:r>
        <w:rPr>
          <w:rFonts w:cs="Times New Roman"/>
          <w:szCs w:val="24"/>
        </w:rPr>
        <w:t xml:space="preserve">Além do que já foi mostrado em </w:t>
      </w:r>
      <w:r w:rsidR="005E46BB">
        <w:rPr>
          <w:rFonts w:cs="Times New Roman"/>
          <w:szCs w:val="24"/>
        </w:rPr>
        <w:t>trabalhos anteriores</w:t>
      </w:r>
      <w:r>
        <w:rPr>
          <w:rFonts w:cs="Times New Roman"/>
          <w:szCs w:val="24"/>
        </w:rPr>
        <w:t>, é mister a elucidação de que Pau dos Ferros-RN é uma cidade encravada no semiárido nordestino e que até meado</w:t>
      </w:r>
      <w:r w:rsidR="005E46BB">
        <w:rPr>
          <w:rFonts w:cs="Times New Roman"/>
          <w:szCs w:val="24"/>
        </w:rPr>
        <w:t>s</w:t>
      </w:r>
      <w:r>
        <w:rPr>
          <w:rFonts w:cs="Times New Roman"/>
          <w:szCs w:val="24"/>
        </w:rPr>
        <w:t xml:space="preserve"> dos anos 1930 compôs estrategicamente o complexo algodoeiro cultivado nessa região. Portanto, ao estar ligada a um ciclo econômico regional ao lado da produção açucareira litorânea, tal cidade teve papel fundamental na construção do mercado interno nacional e na inclusão do sertão potiguar no mercado internacional por intermédio da exportação de algodão. </w:t>
      </w:r>
    </w:p>
    <w:p w14:paraId="2CF75A47" w14:textId="77777777" w:rsidR="00542AC7" w:rsidRDefault="00542AC7" w:rsidP="00542AC7">
      <w:pPr>
        <w:rPr>
          <w:rFonts w:cs="Times New Roman"/>
          <w:szCs w:val="24"/>
        </w:rPr>
      </w:pPr>
      <w:r>
        <w:rPr>
          <w:rFonts w:cs="Times New Roman"/>
          <w:szCs w:val="24"/>
        </w:rPr>
        <w:t xml:space="preserve">Outra consideração que merece relevo, é o fato de que durante a formação econômica do Brasil o semiárido nordestino apresentou vantagens comparativas capazes de fomentar a produção pecuária que aqui se desenvolveu. Desta forma, a produção pecuária do semiárido exerceu por longas décadas o papel de complementação junto à produção açucareira, já que os animais criados aqui serviam como força motriz tanto para a materialização da mercadoria quanto para a distribuição desta dentro da economia nacional. Sendo assim, Pau dos Ferros atua ativamente na construção dessa produção sendo que, no caso do sertão </w:t>
      </w:r>
      <w:r w:rsidRPr="00791B84">
        <w:rPr>
          <w:rFonts w:cs="Times New Roman"/>
          <w:szCs w:val="24"/>
        </w:rPr>
        <w:t xml:space="preserve">potiguar, a cidade </w:t>
      </w:r>
      <w:r>
        <w:rPr>
          <w:rFonts w:cs="Times New Roman"/>
          <w:szCs w:val="24"/>
        </w:rPr>
        <w:t xml:space="preserve">foi o cenário mais significativo desse sistema produtivo e traz no seu nome o retrato desse momento histórico do país (BARRETO, 1987). </w:t>
      </w:r>
    </w:p>
    <w:p w14:paraId="2CF75A48" w14:textId="6344C2A9" w:rsidR="00542AC7" w:rsidRDefault="00542AC7" w:rsidP="00542AC7">
      <w:pPr>
        <w:rPr>
          <w:rFonts w:cs="Times New Roman"/>
          <w:szCs w:val="24"/>
        </w:rPr>
      </w:pPr>
      <w:r>
        <w:rPr>
          <w:rFonts w:cs="Times New Roman"/>
          <w:szCs w:val="24"/>
        </w:rPr>
        <w:t>Com a produção pecuária e posteriormente algodoeira, Pau dos Ferros passa a ser uma cidade estratégica ao fazer parte de um</w:t>
      </w:r>
      <w:r w:rsidR="004E3C06">
        <w:rPr>
          <w:rFonts w:cs="Times New Roman"/>
          <w:szCs w:val="24"/>
        </w:rPr>
        <w:t xml:space="preserve"> contingente </w:t>
      </w:r>
      <w:r>
        <w:rPr>
          <w:rFonts w:cs="Times New Roman"/>
          <w:szCs w:val="24"/>
        </w:rPr>
        <w:t xml:space="preserve">de cidades que de fato concorriam para a consolidação da economia nacional. A afirmativa é verossímil à medida que se tem a compreensão de que toda a sua produção ou servia de apoio à produção açucareira (um dos primeiros ciclos da economia nacional), como foi o caso da </w:t>
      </w:r>
      <w:r>
        <w:rPr>
          <w:rFonts w:cs="Times New Roman"/>
          <w:szCs w:val="24"/>
        </w:rPr>
        <w:lastRenderedPageBreak/>
        <w:t>pecuária, ou era totalmente direcionada para o mercado externo, como foi o caso da exportação do algodão produzido nessa região.</w:t>
      </w:r>
    </w:p>
    <w:p w14:paraId="2CF75A49" w14:textId="77777777" w:rsidR="00630B92" w:rsidRDefault="00542AC7" w:rsidP="006A5007">
      <w:pPr>
        <w:rPr>
          <w:rFonts w:cs="Times New Roman"/>
          <w:szCs w:val="24"/>
        </w:rPr>
      </w:pPr>
      <w:r>
        <w:rPr>
          <w:rFonts w:cs="Times New Roman"/>
          <w:szCs w:val="24"/>
        </w:rPr>
        <w:t xml:space="preserve">Regionalmente, Pau dos Ferros está localizada no Alto Oeste Potiguar, uma das microrregiões estratégicas do Rio Grande do Norte e que é formada por mais 36 municípios. Ao estar totalmente localizado no sertão potiguar, parte significativa do alto </w:t>
      </w:r>
      <w:r w:rsidRPr="00791B84">
        <w:rPr>
          <w:rFonts w:cs="Times New Roman"/>
          <w:szCs w:val="24"/>
        </w:rPr>
        <w:t xml:space="preserve">oeste estava integrada na economia pecuarista e algodoeira e, juntamente com Pau dos Ferros, estava </w:t>
      </w:r>
      <w:r>
        <w:rPr>
          <w:rFonts w:cs="Times New Roman"/>
          <w:szCs w:val="24"/>
        </w:rPr>
        <w:t xml:space="preserve">inserida na economia internacional. Não obstante, por sintetizar um itinerário virtuoso para o capital pecuário e por ser mais forte politicamente </w:t>
      </w:r>
      <w:r>
        <w:rPr>
          <w:rFonts w:cs="Times New Roman"/>
          <w:i/>
          <w:szCs w:val="24"/>
        </w:rPr>
        <w:t>a posteriori</w:t>
      </w:r>
      <w:r>
        <w:rPr>
          <w:rFonts w:cs="Times New Roman"/>
          <w:szCs w:val="24"/>
        </w:rPr>
        <w:t xml:space="preserve">, Pau dos Ferros se configurou como um núcleo urbano polarizador de todo o alto oeste. Sendo assim, apresentando um setor terciário cada vez </w:t>
      </w:r>
      <w:r w:rsidRPr="00791B84">
        <w:rPr>
          <w:rFonts w:cs="Times New Roman"/>
          <w:szCs w:val="24"/>
        </w:rPr>
        <w:t xml:space="preserve">mais dinâmico, aparecendo </w:t>
      </w:r>
      <w:r>
        <w:rPr>
          <w:rFonts w:cs="Times New Roman"/>
          <w:szCs w:val="24"/>
        </w:rPr>
        <w:t>como forte candidato aos investimentos públicos e, com esse último, ofertando serviços básicos que atende boa parte da região, Pau dos Ferros hoje é considerada uma cidade média que polariza todo o auto oeste potiguar (DANTAS, 2014).</w:t>
      </w:r>
    </w:p>
    <w:p w14:paraId="2CF75A4A" w14:textId="77777777" w:rsidR="006A5007" w:rsidRDefault="006A5007" w:rsidP="006A5007">
      <w:pPr>
        <w:rPr>
          <w:rFonts w:cs="Times New Roman"/>
          <w:szCs w:val="24"/>
        </w:rPr>
      </w:pPr>
    </w:p>
    <w:p w14:paraId="2CF75A4B" w14:textId="77777777" w:rsidR="00B47F7D" w:rsidRPr="00B47F7D" w:rsidRDefault="00630B92" w:rsidP="00B47F7D">
      <w:pPr>
        <w:pStyle w:val="PargrafodaLista"/>
        <w:numPr>
          <w:ilvl w:val="1"/>
          <w:numId w:val="5"/>
        </w:numPr>
        <w:rPr>
          <w:rFonts w:cs="Times New Roman"/>
          <w:b/>
          <w:szCs w:val="24"/>
        </w:rPr>
      </w:pPr>
      <w:r w:rsidRPr="00B47F7D">
        <w:rPr>
          <w:rFonts w:cs="Times New Roman"/>
          <w:b/>
          <w:szCs w:val="24"/>
        </w:rPr>
        <w:t xml:space="preserve">OBJETIVO E MÉTODO </w:t>
      </w:r>
    </w:p>
    <w:p w14:paraId="2CF75A4C" w14:textId="3B62BBE4" w:rsidR="002C0248" w:rsidRDefault="00630B92" w:rsidP="002C0248">
      <w:pPr>
        <w:rPr>
          <w:rFonts w:cs="Times New Roman"/>
          <w:szCs w:val="24"/>
        </w:rPr>
      </w:pPr>
      <w:r>
        <w:rPr>
          <w:rFonts w:cs="Times New Roman"/>
          <w:szCs w:val="24"/>
        </w:rPr>
        <w:t xml:space="preserve">O presente artigo tem como objetivo introduzir no debate acadêmico dados mais consistentes sobre o processo de urbanização de Pau dos Ferros a partir do esclarecimento de como se deu tal </w:t>
      </w:r>
      <w:r w:rsidR="002C0248">
        <w:rPr>
          <w:rFonts w:cs="Times New Roman"/>
          <w:szCs w:val="24"/>
        </w:rPr>
        <w:t>construção</w:t>
      </w:r>
      <w:r>
        <w:rPr>
          <w:rFonts w:cs="Times New Roman"/>
          <w:szCs w:val="24"/>
        </w:rPr>
        <w:t xml:space="preserve"> e qual órbita econômica c</w:t>
      </w:r>
      <w:r w:rsidR="002C0248">
        <w:rPr>
          <w:rFonts w:cs="Times New Roman"/>
          <w:szCs w:val="24"/>
        </w:rPr>
        <w:t>ircundava os caminhos da mesma. No decorrer das discussões será observado que os caminhos da urbanização de Pau dos Ferros estiveram sujeitos a toda volatilidade pela</w:t>
      </w:r>
      <w:r w:rsidR="00AA64A4">
        <w:rPr>
          <w:rFonts w:cs="Times New Roman"/>
          <w:szCs w:val="24"/>
        </w:rPr>
        <w:t xml:space="preserve"> qual</w:t>
      </w:r>
      <w:r w:rsidR="002C0248">
        <w:rPr>
          <w:rFonts w:cs="Times New Roman"/>
          <w:szCs w:val="24"/>
        </w:rPr>
        <w:t xml:space="preserve"> passava a economia nordestina como, por exemplo, migrações causadas pelas secas, emancipação de municípios que antes faziam parte da área da cidade, etc. </w:t>
      </w:r>
    </w:p>
    <w:p w14:paraId="2CF75A4D" w14:textId="5E057C53" w:rsidR="00630B92" w:rsidRPr="00AA64A4" w:rsidRDefault="00AA64A4" w:rsidP="002C0248">
      <w:pPr>
        <w:ind w:firstLine="0"/>
        <w:rPr>
          <w:rFonts w:cs="Times New Roman"/>
          <w:sz w:val="22"/>
        </w:rPr>
      </w:pPr>
      <w:r>
        <w:rPr>
          <w:rFonts w:cs="Times New Roman"/>
          <w:szCs w:val="24"/>
        </w:rPr>
        <w:tab/>
        <w:t xml:space="preserve">A pesquisa tem </w:t>
      </w:r>
      <w:r w:rsidR="002C0248">
        <w:rPr>
          <w:rFonts w:cs="Times New Roman"/>
          <w:szCs w:val="24"/>
        </w:rPr>
        <w:t xml:space="preserve">caráter bibliográfico </w:t>
      </w:r>
      <w:r>
        <w:rPr>
          <w:rFonts w:cs="Times New Roman"/>
          <w:szCs w:val="24"/>
        </w:rPr>
        <w:t>n</w:t>
      </w:r>
      <w:r w:rsidR="002C0248">
        <w:rPr>
          <w:rFonts w:cs="Times New Roman"/>
          <w:szCs w:val="24"/>
        </w:rPr>
        <w:t>a medida</w:t>
      </w:r>
      <w:r>
        <w:rPr>
          <w:rFonts w:cs="Times New Roman"/>
          <w:szCs w:val="24"/>
        </w:rPr>
        <w:t xml:space="preserve"> em</w:t>
      </w:r>
      <w:r w:rsidR="002C0248">
        <w:rPr>
          <w:rFonts w:cs="Times New Roman"/>
          <w:szCs w:val="24"/>
        </w:rPr>
        <w:t xml:space="preserve"> que, para a realização da mesma, foram usados outros textos que ajudam a construir historicamente esse processo de urbanização, como é o caso dos estudos de Dantas (2014) e </w:t>
      </w:r>
      <w:r w:rsidR="006A5007">
        <w:rPr>
          <w:rFonts w:cs="Times New Roman"/>
          <w:szCs w:val="24"/>
        </w:rPr>
        <w:t xml:space="preserve">Barreto (1987). </w:t>
      </w:r>
      <w:r w:rsidR="0009590C">
        <w:rPr>
          <w:rFonts w:cs="Times New Roman"/>
          <w:szCs w:val="24"/>
        </w:rPr>
        <w:t xml:space="preserve">A pesquisa também faz uso de dados obtidos nas plataformas oficiais do Instituto Brasileiro de </w:t>
      </w:r>
      <w:r w:rsidR="0009590C" w:rsidRPr="00FC5032">
        <w:rPr>
          <w:rFonts w:cs="Times New Roman"/>
          <w:szCs w:val="24"/>
        </w:rPr>
        <w:t>Geografia e Estatística (IBGE).</w:t>
      </w:r>
      <w:r w:rsidR="00840EFF" w:rsidRPr="00FC5032">
        <w:rPr>
          <w:rFonts w:cs="Times New Roman"/>
          <w:sz w:val="22"/>
        </w:rPr>
        <w:t xml:space="preserve"> Ademais, o trabalho também é um recorte d</w:t>
      </w:r>
      <w:r w:rsidR="00CE0296" w:rsidRPr="00FC5032">
        <w:rPr>
          <w:rFonts w:cs="Times New Roman"/>
          <w:sz w:val="22"/>
        </w:rPr>
        <w:t>a</w:t>
      </w:r>
      <w:r w:rsidR="00840EFF" w:rsidRPr="00FC5032">
        <w:rPr>
          <w:rFonts w:cs="Times New Roman"/>
          <w:sz w:val="22"/>
        </w:rPr>
        <w:t xml:space="preserve"> Monografia </w:t>
      </w:r>
      <w:r w:rsidR="00CE0296" w:rsidRPr="00FC5032">
        <w:rPr>
          <w:rFonts w:cs="Times New Roman"/>
          <w:sz w:val="22"/>
        </w:rPr>
        <w:t xml:space="preserve">de Monteiro (2018), </w:t>
      </w:r>
      <w:r w:rsidR="00840EFF" w:rsidRPr="00FC5032">
        <w:rPr>
          <w:rFonts w:cs="Times New Roman"/>
          <w:sz w:val="22"/>
        </w:rPr>
        <w:t xml:space="preserve">sobre o papel do investimento estatal na construção do </w:t>
      </w:r>
      <w:r w:rsidR="00840EFF" w:rsidRPr="00FC5032">
        <w:rPr>
          <w:rFonts w:cs="Times New Roman"/>
          <w:i/>
          <w:sz w:val="22"/>
        </w:rPr>
        <w:t>urbano</w:t>
      </w:r>
      <w:r w:rsidR="00840EFF" w:rsidRPr="00FC5032">
        <w:rPr>
          <w:rFonts w:cs="Times New Roman"/>
          <w:sz w:val="22"/>
        </w:rPr>
        <w:t xml:space="preserve"> na cidade de Pau dos Ferros-RN</w:t>
      </w:r>
      <w:r w:rsidR="00FC5032" w:rsidRPr="00FC5032">
        <w:rPr>
          <w:rFonts w:cs="Times New Roman"/>
          <w:sz w:val="22"/>
        </w:rPr>
        <w:t>.</w:t>
      </w:r>
    </w:p>
    <w:p w14:paraId="2CF75A4E" w14:textId="77777777" w:rsidR="00630B92" w:rsidRPr="00630B92" w:rsidRDefault="00630B92" w:rsidP="00630B92">
      <w:pPr>
        <w:ind w:firstLine="0"/>
        <w:rPr>
          <w:rFonts w:cs="Times New Roman"/>
          <w:szCs w:val="24"/>
        </w:rPr>
      </w:pPr>
    </w:p>
    <w:p w14:paraId="2CF75A4F" w14:textId="77777777" w:rsidR="00874E18" w:rsidRPr="00B47F7D" w:rsidRDefault="00B47F7D" w:rsidP="00B47F7D">
      <w:pPr>
        <w:pStyle w:val="PargrafodaLista"/>
        <w:numPr>
          <w:ilvl w:val="0"/>
          <w:numId w:val="3"/>
        </w:numPr>
        <w:rPr>
          <w:rFonts w:cs="Times New Roman"/>
          <w:b/>
          <w:szCs w:val="24"/>
        </w:rPr>
      </w:pPr>
      <w:r w:rsidRPr="00B47F7D">
        <w:rPr>
          <w:rFonts w:cs="Times New Roman"/>
          <w:b/>
          <w:szCs w:val="24"/>
        </w:rPr>
        <w:t xml:space="preserve"> RESULTADOS E DISCUSSÃO</w:t>
      </w:r>
    </w:p>
    <w:p w14:paraId="2CF75A50" w14:textId="77777777" w:rsidR="00542AC7" w:rsidRDefault="00542AC7" w:rsidP="00542AC7">
      <w:pPr>
        <w:rPr>
          <w:rFonts w:cs="Times New Roman"/>
          <w:szCs w:val="24"/>
        </w:rPr>
      </w:pPr>
      <w:r>
        <w:rPr>
          <w:rFonts w:cs="Times New Roman"/>
          <w:szCs w:val="24"/>
        </w:rPr>
        <w:t xml:space="preserve">Ao participar da formação econômica da Região Nordeste e do estado com atividades que tem o campo como habitat privilegiado – produções pecuária e algodoeira –, o total de pessoas que habitam no meio rural de Pau dos Ferros tende a ser maior que </w:t>
      </w:r>
      <w:r>
        <w:rPr>
          <w:rFonts w:cs="Times New Roman"/>
          <w:szCs w:val="24"/>
        </w:rPr>
        <w:lastRenderedPageBreak/>
        <w:t xml:space="preserve">a parcela que faz da cidade propriamente dita a sua morada. Por ser mais dinâmico, o campo tinha uma força de atração e de permanência relevante, principalmente quando se coloca em pauta o poder de absorção que as atividades realizadas ali exerciam sobre as massas </w:t>
      </w:r>
      <w:r w:rsidRPr="00791B84">
        <w:rPr>
          <w:rFonts w:cs="Times New Roman"/>
          <w:szCs w:val="24"/>
        </w:rPr>
        <w:t xml:space="preserve">trabalhadoras que migravam </w:t>
      </w:r>
      <w:r>
        <w:rPr>
          <w:rFonts w:cs="Times New Roman"/>
          <w:szCs w:val="24"/>
        </w:rPr>
        <w:t xml:space="preserve">de outras regiões e de ocupações diferenciadas. Nesse sentido, eram realizadas no espaço citadino apenas as atividades de cunho político-administrativo. </w:t>
      </w:r>
    </w:p>
    <w:p w14:paraId="2CF75A51" w14:textId="77777777" w:rsidR="00542AC7" w:rsidRDefault="00542AC7" w:rsidP="00542AC7">
      <w:pPr>
        <w:rPr>
          <w:rFonts w:cs="Times New Roman"/>
          <w:szCs w:val="24"/>
        </w:rPr>
      </w:pPr>
      <w:r>
        <w:rPr>
          <w:rFonts w:cs="Times New Roman"/>
          <w:szCs w:val="24"/>
        </w:rPr>
        <w:t xml:space="preserve">Todavia, ao estarem ligadas ao movimento da economia tanto interna quanto externa, as atividades realizadas no campo não estavam imunes aos percalços do jogo de mercado, o que significa que qualquer mudança brusca no jogo mercantil afetaria diretamente essas atividades, modificando totalmente o comportamento da População Economicamente Ativa (PEA) entre os diferentes setores. Nesse sentido, a Grande de Depressão de 1930 fez sentir seus efeitos no comportamento da demanda pelos produtos brasileiros nos quais o algodão estava incluso. No entanto, é só a partir de 1960-70 que a produção algodoeira se encontrará comprometida no alto oeste potiguar, fazendo com que a população camponesa migrasse para os núcleos urbanos em desenvolvimento, como foi no caso de Pau dos Ferros. </w:t>
      </w:r>
    </w:p>
    <w:p w14:paraId="2CF75A52" w14:textId="77777777" w:rsidR="00542AC7" w:rsidRDefault="00542AC7" w:rsidP="00542AC7">
      <w:pPr>
        <w:rPr>
          <w:rFonts w:cs="Times New Roman"/>
          <w:szCs w:val="24"/>
        </w:rPr>
      </w:pPr>
      <w:r>
        <w:rPr>
          <w:rFonts w:cs="Times New Roman"/>
          <w:szCs w:val="24"/>
        </w:rPr>
        <w:t xml:space="preserve">Com o aumento populacional contínuo e com o arrefecimento da produção algodoeira, o espaço urbano de Pau dos Ferros passou a concentrar tanto a elite administrativa, quanto as massas oriundas da produção anteriormente realizada no campo. Destarte, pode-se inferir que a dinâmica urbana de Pau dos Ferros só se materializa a partir do momento em que a produção camponesa perde a sua vitalidade. Nesse sentido, entende-se que o movimento migratório campo-cidade vivido por Pau dos Ferros foi fruto do esgotamento da produção do campo, o que Singer (1987) chama de migração por fatores de estagnação. </w:t>
      </w:r>
    </w:p>
    <w:p w14:paraId="2CF75A53" w14:textId="77777777" w:rsidR="00542AC7" w:rsidRDefault="00542AC7" w:rsidP="00542AC7">
      <w:pPr>
        <w:rPr>
          <w:rFonts w:cs="Times New Roman"/>
          <w:szCs w:val="24"/>
        </w:rPr>
      </w:pPr>
      <w:r>
        <w:rPr>
          <w:rFonts w:cs="Times New Roman"/>
          <w:szCs w:val="24"/>
        </w:rPr>
        <w:t>No entanto, o advento da população oriunda do campo na cidade foi acompanhado por um processo de aparelhagem urbana principalmente no que diz respeito à infraestrutura, o que fez com que outras atividades tanto comerciais quanto timidamente industriais fossem desenvolvidas no interior do espaço citadino. Foi nessa mesma época que serviços públicos financeiros passaram a ser ofertados na cidade (BARRETO, 1987). Toda essa modificação estrutural afetou de forma significativa o comportamento da PEA e da distribuição da população entre cidade e campo.</w:t>
      </w:r>
    </w:p>
    <w:p w14:paraId="2CF75A54" w14:textId="77777777" w:rsidR="00542AC7" w:rsidRPr="003B3481" w:rsidRDefault="00B47F7D" w:rsidP="00542AC7">
      <w:pPr>
        <w:pStyle w:val="Ttulo1"/>
        <w:rPr>
          <w:sz w:val="24"/>
          <w:szCs w:val="24"/>
        </w:rPr>
      </w:pPr>
      <w:bookmarkStart w:id="3" w:name="_Toc516767398"/>
      <w:bookmarkStart w:id="4" w:name="_Toc516767665"/>
      <w:bookmarkStart w:id="5" w:name="_Toc516767831"/>
      <w:r>
        <w:rPr>
          <w:noProof/>
        </w:rPr>
        <w:lastRenderedPageBreak/>
        <w:drawing>
          <wp:anchor distT="0" distB="0" distL="114300" distR="114300" simplePos="0" relativeHeight="251658240" behindDoc="1" locked="0" layoutInCell="1" allowOverlap="1" wp14:anchorId="2CF75AA4" wp14:editId="2CF75AA5">
            <wp:simplePos x="0" y="0"/>
            <wp:positionH relativeFrom="column">
              <wp:posOffset>-251460</wp:posOffset>
            </wp:positionH>
            <wp:positionV relativeFrom="paragraph">
              <wp:posOffset>215265</wp:posOffset>
            </wp:positionV>
            <wp:extent cx="5648325" cy="3648075"/>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542AC7" w:rsidRPr="003B3481">
        <w:rPr>
          <w:sz w:val="24"/>
          <w:szCs w:val="24"/>
        </w:rPr>
        <w:t>Figura 01: Crescimento da População Total, Urbana e Rural</w:t>
      </w:r>
      <w:bookmarkEnd w:id="3"/>
      <w:bookmarkEnd w:id="4"/>
      <w:bookmarkEnd w:id="5"/>
    </w:p>
    <w:p w14:paraId="2CF75A55" w14:textId="77777777" w:rsidR="00B47F7D" w:rsidRDefault="00B47F7D" w:rsidP="0037753B">
      <w:pPr>
        <w:spacing w:line="240" w:lineRule="auto"/>
        <w:ind w:firstLine="0"/>
        <w:rPr>
          <w:rFonts w:cs="Times New Roman"/>
          <w:sz w:val="20"/>
          <w:szCs w:val="20"/>
        </w:rPr>
      </w:pPr>
    </w:p>
    <w:p w14:paraId="2CF75A56" w14:textId="77777777" w:rsidR="00542AC7" w:rsidRPr="001D184D" w:rsidRDefault="00542AC7" w:rsidP="0037753B">
      <w:pPr>
        <w:spacing w:line="240" w:lineRule="auto"/>
        <w:ind w:firstLine="0"/>
        <w:rPr>
          <w:rFonts w:cs="Times New Roman"/>
          <w:sz w:val="20"/>
          <w:szCs w:val="20"/>
        </w:rPr>
      </w:pPr>
      <w:r w:rsidRPr="001D184D">
        <w:rPr>
          <w:rFonts w:cs="Times New Roman"/>
          <w:sz w:val="20"/>
          <w:szCs w:val="20"/>
        </w:rPr>
        <w:t xml:space="preserve">FONTE: Elaboração própria a partir de dados fornecidos pelo último Censo realizado pelo Instituto Brasileiro de Geografia e Estatística (IBGE, 2010). </w:t>
      </w:r>
    </w:p>
    <w:p w14:paraId="2CF75A57" w14:textId="77777777" w:rsidR="00542AC7" w:rsidRDefault="00542AC7" w:rsidP="00542AC7">
      <w:pPr>
        <w:rPr>
          <w:rFonts w:cs="Times New Roman"/>
          <w:szCs w:val="24"/>
        </w:rPr>
      </w:pPr>
    </w:p>
    <w:p w14:paraId="2CF75A58" w14:textId="77777777" w:rsidR="00542AC7" w:rsidRDefault="00542AC7" w:rsidP="00542AC7">
      <w:pPr>
        <w:rPr>
          <w:rFonts w:cs="Times New Roman"/>
          <w:szCs w:val="24"/>
        </w:rPr>
      </w:pPr>
      <w:r>
        <w:rPr>
          <w:rFonts w:cs="Times New Roman"/>
          <w:szCs w:val="24"/>
        </w:rPr>
        <w:t xml:space="preserve">Como aponta o gráfico, a partir de 1960-70 a população residente na área urbana – tímida em 1940 – passa a ser superior àquela que vive no campo. Outro fato que chama atenção no gráfico supracitado é o fato de que entre 1950 e 1970 a população total de Pau dos Ferros </w:t>
      </w:r>
      <w:r w:rsidRPr="00016EDA">
        <w:rPr>
          <w:rFonts w:cs="Times New Roman"/>
          <w:szCs w:val="24"/>
        </w:rPr>
        <w:t xml:space="preserve">decresce a medida que parte desse contingente migra para o espaço urbano. Esse fenômeno é explicado, em parte, pelo </w:t>
      </w:r>
      <w:r>
        <w:rPr>
          <w:rFonts w:cs="Times New Roman"/>
          <w:szCs w:val="24"/>
        </w:rPr>
        <w:t xml:space="preserve">processo de emancipação política de algumas áreas rurais de Pau dos Ferros e também pela migração habitantes da cidade para outas regiões do país que culminou com redução da sua população absoluta (BARRETO, 1987). Todavia, os dados mostram que o avanço da urbanização – no seu sentido de população residente na área urbana – foi eminente e ocorreu paralelamente à estagnação das atividades produtivas rurais e persiste até os presentes dias. </w:t>
      </w:r>
    </w:p>
    <w:p w14:paraId="2CF75A59" w14:textId="77777777" w:rsidR="00542AC7" w:rsidRPr="003B3481" w:rsidRDefault="00B47F7D" w:rsidP="00542AC7">
      <w:pPr>
        <w:pStyle w:val="Ttulo1"/>
        <w:rPr>
          <w:sz w:val="24"/>
          <w:szCs w:val="24"/>
        </w:rPr>
      </w:pPr>
      <w:bookmarkStart w:id="6" w:name="_Toc516767399"/>
      <w:bookmarkStart w:id="7" w:name="_Toc516767666"/>
      <w:bookmarkStart w:id="8" w:name="_Toc516767832"/>
      <w:r>
        <w:rPr>
          <w:noProof/>
        </w:rPr>
        <w:lastRenderedPageBreak/>
        <w:drawing>
          <wp:anchor distT="0" distB="0" distL="114300" distR="114300" simplePos="0" relativeHeight="251659264" behindDoc="0" locked="0" layoutInCell="1" allowOverlap="1" wp14:anchorId="2CF75AA6" wp14:editId="2CF75AA7">
            <wp:simplePos x="0" y="0"/>
            <wp:positionH relativeFrom="column">
              <wp:posOffset>-146685</wp:posOffset>
            </wp:positionH>
            <wp:positionV relativeFrom="paragraph">
              <wp:posOffset>186055</wp:posOffset>
            </wp:positionV>
            <wp:extent cx="5438775" cy="3476625"/>
            <wp:effectExtent l="0" t="0" r="0" b="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542AC7" w:rsidRPr="003B3481">
        <w:rPr>
          <w:sz w:val="24"/>
          <w:szCs w:val="24"/>
        </w:rPr>
        <w:t>Figura 02: Crescimento da taxa de urbanização entre 1940 a 2010</w:t>
      </w:r>
      <w:bookmarkEnd w:id="6"/>
      <w:bookmarkEnd w:id="7"/>
      <w:bookmarkEnd w:id="8"/>
    </w:p>
    <w:p w14:paraId="2CF75A5A" w14:textId="77777777" w:rsidR="00542AC7" w:rsidRPr="001D184D" w:rsidRDefault="00542AC7" w:rsidP="00B47F7D">
      <w:pPr>
        <w:spacing w:line="240" w:lineRule="auto"/>
        <w:ind w:firstLine="0"/>
        <w:rPr>
          <w:rFonts w:cs="Times New Roman"/>
          <w:sz w:val="20"/>
          <w:szCs w:val="20"/>
        </w:rPr>
      </w:pPr>
      <w:r w:rsidRPr="001D184D">
        <w:rPr>
          <w:rFonts w:cs="Times New Roman"/>
          <w:sz w:val="20"/>
          <w:szCs w:val="20"/>
        </w:rPr>
        <w:t xml:space="preserve">FONTE: Elaboração própria a partir de dados fornecidos pelo Instituto Brasileiro de Geografia e Estatística (IBGE, 2010). </w:t>
      </w:r>
    </w:p>
    <w:p w14:paraId="2CF75A5B" w14:textId="77777777" w:rsidR="00542AC7" w:rsidRDefault="00542AC7" w:rsidP="00542AC7">
      <w:pPr>
        <w:spacing w:line="240" w:lineRule="auto"/>
        <w:rPr>
          <w:rFonts w:cs="Times New Roman"/>
          <w:szCs w:val="24"/>
        </w:rPr>
      </w:pPr>
    </w:p>
    <w:p w14:paraId="2CF75A5C" w14:textId="77777777" w:rsidR="00542AC7" w:rsidRDefault="00542AC7" w:rsidP="00542AC7">
      <w:pPr>
        <w:rPr>
          <w:rFonts w:cs="Times New Roman"/>
          <w:szCs w:val="24"/>
        </w:rPr>
      </w:pPr>
      <w:r>
        <w:rPr>
          <w:rFonts w:cs="Times New Roman"/>
          <w:szCs w:val="24"/>
        </w:rPr>
        <w:t xml:space="preserve">A figura acima é mais elucidativa no que diz respeito ao aumento percentual da população residente na área urbana de Pau dos Ferros. Ademais, esses mesmos dados mostram que o percentual demográfico habitante do meio urbano decresceu entre 1950 e 1960 como fruto da redução da população absoluta que se deu nesse mesmo período devido a emancipação política de algumas de suas áreas rurais.  </w:t>
      </w:r>
    </w:p>
    <w:p w14:paraId="2CF75A5D" w14:textId="77777777" w:rsidR="00542AC7" w:rsidRDefault="00542AC7" w:rsidP="00542AC7">
      <w:pPr>
        <w:rPr>
          <w:rFonts w:cs="Times New Roman"/>
          <w:szCs w:val="24"/>
        </w:rPr>
      </w:pPr>
      <w:r>
        <w:rPr>
          <w:rFonts w:cs="Times New Roman"/>
          <w:szCs w:val="24"/>
        </w:rPr>
        <w:t xml:space="preserve">Outra forma de mensurar o processo de urbanização de Pau dos Ferros é observar a dinâmica das atividades que tem como habitat o meio urbano. Tais atividades são geralmente o Setor Secundário – ou indústria de transformação – que é uma atividade preponderantemente urbana; e o Setor Terciário - ou de comércios e serviços – que encontra no meio urbano a sua razão de ser, </w:t>
      </w:r>
      <w:proofErr w:type="spellStart"/>
      <w:r>
        <w:rPr>
          <w:rFonts w:cs="Times New Roman"/>
          <w:szCs w:val="24"/>
        </w:rPr>
        <w:t>a</w:t>
      </w:r>
      <w:proofErr w:type="spellEnd"/>
      <w:r>
        <w:rPr>
          <w:rFonts w:cs="Times New Roman"/>
          <w:szCs w:val="24"/>
        </w:rPr>
        <w:t xml:space="preserve"> medida que o crescimento demográfico urbano faz emergir novas demandas, tanto por bens de consumo duráveis e não duráveis quanto por serviços públicos básicos de educação, saúde e eletricidade ou serviços privados de alta complexidade. Por essa perspectiva, a queda das atividades realizadas no campo – Setor Primário – consolida a ideia de transferência de relevância econômica do meio rural para o meio urbano, sendo que a ociosidade desse setor pode ser compensada pela absorção dessa mão de obra pelos setores essencialmente urbanos. </w:t>
      </w:r>
    </w:p>
    <w:p w14:paraId="2CF75A5E" w14:textId="77777777" w:rsidR="00542AC7" w:rsidRDefault="00542AC7" w:rsidP="00542AC7">
      <w:pPr>
        <w:rPr>
          <w:rFonts w:cs="Times New Roman"/>
          <w:szCs w:val="24"/>
        </w:rPr>
      </w:pPr>
    </w:p>
    <w:p w14:paraId="2CF75A5F" w14:textId="77777777" w:rsidR="00542AC7" w:rsidRPr="003B3481" w:rsidRDefault="00B47F7D" w:rsidP="00542AC7">
      <w:pPr>
        <w:pStyle w:val="Ttulo1"/>
        <w:rPr>
          <w:sz w:val="24"/>
          <w:szCs w:val="24"/>
        </w:rPr>
      </w:pPr>
      <w:bookmarkStart w:id="9" w:name="_Toc516767400"/>
      <w:bookmarkStart w:id="10" w:name="_Toc516767667"/>
      <w:bookmarkStart w:id="11" w:name="_Toc516767833"/>
      <w:r>
        <w:rPr>
          <w:noProof/>
        </w:rPr>
        <w:lastRenderedPageBreak/>
        <w:drawing>
          <wp:anchor distT="0" distB="0" distL="114300" distR="114300" simplePos="0" relativeHeight="251660288" behindDoc="0" locked="0" layoutInCell="1" allowOverlap="1" wp14:anchorId="2CF75AA8" wp14:editId="2CF75AA9">
            <wp:simplePos x="0" y="0"/>
            <wp:positionH relativeFrom="column">
              <wp:posOffset>-89535</wp:posOffset>
            </wp:positionH>
            <wp:positionV relativeFrom="paragraph">
              <wp:posOffset>405130</wp:posOffset>
            </wp:positionV>
            <wp:extent cx="5867400" cy="4067175"/>
            <wp:effectExtent l="0" t="0" r="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42AC7" w:rsidRPr="003B3481">
        <w:rPr>
          <w:sz w:val="24"/>
          <w:szCs w:val="24"/>
        </w:rPr>
        <w:t>Figura 03: Ocupação da População Economicamente Ativa (PEA) nos diferentes setores entre 1960 e 2010.</w:t>
      </w:r>
      <w:bookmarkEnd w:id="9"/>
      <w:bookmarkEnd w:id="10"/>
      <w:bookmarkEnd w:id="11"/>
      <w:r w:rsidR="00542AC7" w:rsidRPr="003B3481">
        <w:rPr>
          <w:sz w:val="24"/>
          <w:szCs w:val="24"/>
        </w:rPr>
        <w:t xml:space="preserve"> </w:t>
      </w:r>
    </w:p>
    <w:p w14:paraId="2CF75A60" w14:textId="77777777" w:rsidR="00542AC7" w:rsidRPr="001D184D" w:rsidRDefault="00542AC7" w:rsidP="00B47F7D">
      <w:pPr>
        <w:spacing w:line="240" w:lineRule="auto"/>
        <w:ind w:firstLine="0"/>
        <w:rPr>
          <w:rFonts w:cs="Times New Roman"/>
          <w:sz w:val="20"/>
          <w:szCs w:val="20"/>
        </w:rPr>
      </w:pPr>
      <w:r w:rsidRPr="001D184D">
        <w:rPr>
          <w:rFonts w:cs="Times New Roman"/>
          <w:sz w:val="20"/>
          <w:szCs w:val="20"/>
        </w:rPr>
        <w:t xml:space="preserve">Fonte: Elaboração própria a partir de dados fornecidos pelo Instituto Brasileiro de Geografia e Estatística (IBGE, 2010). </w:t>
      </w:r>
    </w:p>
    <w:p w14:paraId="2CF75A61" w14:textId="77777777" w:rsidR="00542AC7" w:rsidRDefault="00542AC7" w:rsidP="00542AC7">
      <w:pPr>
        <w:spacing w:line="240" w:lineRule="auto"/>
        <w:rPr>
          <w:rFonts w:cs="Times New Roman"/>
          <w:szCs w:val="24"/>
        </w:rPr>
      </w:pPr>
    </w:p>
    <w:p w14:paraId="2CF75A62" w14:textId="77777777" w:rsidR="00542AC7" w:rsidRDefault="00542AC7" w:rsidP="00542AC7">
      <w:pPr>
        <w:rPr>
          <w:rFonts w:cs="Times New Roman"/>
          <w:szCs w:val="24"/>
        </w:rPr>
      </w:pPr>
      <w:r>
        <w:rPr>
          <w:rFonts w:cs="Times New Roman"/>
          <w:szCs w:val="24"/>
        </w:rPr>
        <w:t>O gráfico</w:t>
      </w:r>
      <w:r w:rsidRPr="00BD3B9B">
        <w:rPr>
          <w:rFonts w:cs="Times New Roman"/>
          <w:szCs w:val="24"/>
        </w:rPr>
        <w:t xml:space="preserve"> 3 </w:t>
      </w:r>
      <w:r>
        <w:rPr>
          <w:rFonts w:cs="Times New Roman"/>
          <w:szCs w:val="24"/>
        </w:rPr>
        <w:t xml:space="preserve">é muito esclarecedor ao demonstrar, em termos absolutos, os números da PEA distribuídos entre os diferentes setores. Algo que chama atenção e dá substância ao debate no qual esse trabalho está disposto a somar é a eminência do setor primário nos anos 1960, mas que, lá em 1970, perde relevância para os setores urbanos, tendo em vista a migração campo-cidade suscitada por fatores de estagnação já discutidos anteriormente. </w:t>
      </w:r>
    </w:p>
    <w:p w14:paraId="2CF75A63" w14:textId="77777777" w:rsidR="00542AC7" w:rsidRDefault="00542AC7" w:rsidP="00542AC7">
      <w:pPr>
        <w:rPr>
          <w:rFonts w:cs="Times New Roman"/>
          <w:szCs w:val="24"/>
        </w:rPr>
      </w:pPr>
      <w:r>
        <w:rPr>
          <w:rFonts w:cs="Times New Roman"/>
          <w:szCs w:val="24"/>
        </w:rPr>
        <w:t xml:space="preserve">O que também chama atenção é o avanço do setor terciário em detrimento das outras atividades. Como já foi analisado, o agigantamento da demografia urbana fomenta uma demanda proporcional por parte da população por serviços e produtos de naturezas diversas o que poderia também tornar dinâmica a indústria </w:t>
      </w:r>
      <w:r w:rsidRPr="001A69E5">
        <w:rPr>
          <w:rFonts w:cs="Times New Roman"/>
          <w:szCs w:val="24"/>
        </w:rPr>
        <w:t xml:space="preserve">de transformação, fato que não ocorreu devido o jogo de interesses do mercado e a ausência do poder público municipal no que diz respeito </w:t>
      </w:r>
      <w:r>
        <w:rPr>
          <w:rFonts w:cs="Times New Roman"/>
          <w:szCs w:val="24"/>
        </w:rPr>
        <w:t xml:space="preserve">à construção de uma infraestrutura adequada para as atividades industriais (MONTEIRO </w:t>
      </w:r>
      <w:r>
        <w:rPr>
          <w:rFonts w:cs="Times New Roman"/>
          <w:i/>
          <w:szCs w:val="24"/>
        </w:rPr>
        <w:t>et al</w:t>
      </w:r>
      <w:r>
        <w:rPr>
          <w:rFonts w:cs="Times New Roman"/>
          <w:szCs w:val="24"/>
        </w:rPr>
        <w:t xml:space="preserve">, 2014). Nessa perspectiva, Pau dos Ferros parece ser um espaço privilegiado no âmbito do processo de circulação do capital por intermédio do Terceiro Setor. Além disso, a cidade consegue, através desse setor, polarizar outras cidades circunjacentes. Não obstante, esse mesmo setor dinâmico tem se </w:t>
      </w:r>
      <w:r>
        <w:rPr>
          <w:rFonts w:cs="Times New Roman"/>
          <w:szCs w:val="24"/>
        </w:rPr>
        <w:lastRenderedPageBreak/>
        <w:t xml:space="preserve">mostrado o mais sensível em relação às variações do gasto público em infraestrutura, como será analisado nas próximas análises. </w:t>
      </w:r>
    </w:p>
    <w:tbl>
      <w:tblPr>
        <w:tblW w:w="9423" w:type="dxa"/>
        <w:tblCellMar>
          <w:left w:w="70" w:type="dxa"/>
          <w:right w:w="70" w:type="dxa"/>
        </w:tblCellMar>
        <w:tblLook w:val="04A0" w:firstRow="1" w:lastRow="0" w:firstColumn="1" w:lastColumn="0" w:noHBand="0" w:noVBand="1"/>
      </w:tblPr>
      <w:tblGrid>
        <w:gridCol w:w="1788"/>
        <w:gridCol w:w="2388"/>
        <w:gridCol w:w="2810"/>
        <w:gridCol w:w="2437"/>
      </w:tblGrid>
      <w:tr w:rsidR="00542AC7" w:rsidRPr="00924C46" w14:paraId="2CF75A65" w14:textId="77777777" w:rsidTr="00B42E7C">
        <w:trPr>
          <w:trHeight w:val="583"/>
        </w:trPr>
        <w:tc>
          <w:tcPr>
            <w:tcW w:w="9423" w:type="dxa"/>
            <w:gridSpan w:val="4"/>
            <w:tcBorders>
              <w:bottom w:val="single" w:sz="4" w:space="0" w:color="auto"/>
            </w:tcBorders>
            <w:shd w:val="clear" w:color="auto" w:fill="auto"/>
            <w:noWrap/>
            <w:vAlign w:val="bottom"/>
          </w:tcPr>
          <w:p w14:paraId="2CF75A64" w14:textId="77777777" w:rsidR="00542AC7" w:rsidRPr="00F86A2B" w:rsidRDefault="00542AC7" w:rsidP="00B42E7C">
            <w:pPr>
              <w:pStyle w:val="Ttulo1"/>
              <w:rPr>
                <w:sz w:val="24"/>
                <w:szCs w:val="24"/>
              </w:rPr>
            </w:pPr>
            <w:bookmarkStart w:id="12" w:name="_Toc516767668"/>
            <w:bookmarkStart w:id="13" w:name="_Toc516767834"/>
            <w:r w:rsidRPr="00F86A2B">
              <w:rPr>
                <w:sz w:val="24"/>
                <w:szCs w:val="24"/>
              </w:rPr>
              <w:t>TABELA 01: Taxa de crescimento da PEA por década nos Setores</w:t>
            </w:r>
            <w:bookmarkEnd w:id="12"/>
            <w:bookmarkEnd w:id="13"/>
            <w:r w:rsidRPr="00F86A2B">
              <w:rPr>
                <w:sz w:val="24"/>
                <w:szCs w:val="24"/>
              </w:rPr>
              <w:t xml:space="preserve"> </w:t>
            </w:r>
          </w:p>
        </w:tc>
      </w:tr>
      <w:tr w:rsidR="00542AC7" w:rsidRPr="00924C46" w14:paraId="2CF75A6A" w14:textId="77777777" w:rsidTr="00B42E7C">
        <w:trPr>
          <w:trHeight w:val="583"/>
        </w:trPr>
        <w:tc>
          <w:tcPr>
            <w:tcW w:w="1788" w:type="dxa"/>
            <w:tcBorders>
              <w:top w:val="single" w:sz="4" w:space="0" w:color="auto"/>
              <w:bottom w:val="single" w:sz="4" w:space="0" w:color="auto"/>
            </w:tcBorders>
            <w:shd w:val="clear" w:color="auto" w:fill="auto"/>
            <w:noWrap/>
            <w:vAlign w:val="bottom"/>
            <w:hideMark/>
          </w:tcPr>
          <w:p w14:paraId="2CF75A66" w14:textId="77777777" w:rsidR="00542AC7" w:rsidRPr="00924C46" w:rsidRDefault="00542AC7" w:rsidP="00B42E7C">
            <w:pPr>
              <w:spacing w:line="240" w:lineRule="auto"/>
              <w:jc w:val="center"/>
              <w:rPr>
                <w:rFonts w:eastAsia="Times New Roman" w:cs="Times New Roman"/>
                <w:color w:val="000000"/>
                <w:szCs w:val="24"/>
                <w:lang w:eastAsia="pt-BR"/>
              </w:rPr>
            </w:pPr>
            <w:r w:rsidRPr="00FB78A0">
              <w:rPr>
                <w:rFonts w:eastAsia="Times New Roman" w:cs="Times New Roman"/>
                <w:color w:val="000000"/>
                <w:szCs w:val="24"/>
                <w:lang w:eastAsia="pt-BR"/>
              </w:rPr>
              <w:t>Período</w:t>
            </w:r>
          </w:p>
        </w:tc>
        <w:tc>
          <w:tcPr>
            <w:tcW w:w="2388" w:type="dxa"/>
            <w:tcBorders>
              <w:top w:val="nil"/>
              <w:bottom w:val="single" w:sz="4" w:space="0" w:color="auto"/>
            </w:tcBorders>
            <w:shd w:val="clear" w:color="auto" w:fill="auto"/>
            <w:noWrap/>
            <w:vAlign w:val="bottom"/>
            <w:hideMark/>
          </w:tcPr>
          <w:p w14:paraId="2CF75A67" w14:textId="77777777" w:rsidR="00542AC7" w:rsidRPr="00924C46" w:rsidRDefault="00542AC7" w:rsidP="00B42E7C">
            <w:pPr>
              <w:spacing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Setor Primário</w:t>
            </w:r>
          </w:p>
        </w:tc>
        <w:tc>
          <w:tcPr>
            <w:tcW w:w="2810" w:type="dxa"/>
            <w:tcBorders>
              <w:top w:val="nil"/>
              <w:bottom w:val="single" w:sz="4" w:space="0" w:color="auto"/>
            </w:tcBorders>
            <w:shd w:val="clear" w:color="auto" w:fill="auto"/>
            <w:noWrap/>
            <w:vAlign w:val="bottom"/>
            <w:hideMark/>
          </w:tcPr>
          <w:p w14:paraId="2CF75A68" w14:textId="77777777" w:rsidR="00542AC7" w:rsidRPr="00924C46" w:rsidRDefault="00542AC7" w:rsidP="00B42E7C">
            <w:pPr>
              <w:spacing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Setor Secundário</w:t>
            </w:r>
          </w:p>
        </w:tc>
        <w:tc>
          <w:tcPr>
            <w:tcW w:w="2435" w:type="dxa"/>
            <w:tcBorders>
              <w:top w:val="nil"/>
              <w:bottom w:val="single" w:sz="4" w:space="0" w:color="auto"/>
            </w:tcBorders>
            <w:shd w:val="clear" w:color="auto" w:fill="auto"/>
            <w:noWrap/>
            <w:vAlign w:val="bottom"/>
            <w:hideMark/>
          </w:tcPr>
          <w:p w14:paraId="2CF75A69" w14:textId="77777777" w:rsidR="00542AC7" w:rsidRPr="00924C46" w:rsidRDefault="00542AC7" w:rsidP="00B42E7C">
            <w:pPr>
              <w:spacing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Setor Terciário</w:t>
            </w:r>
          </w:p>
        </w:tc>
      </w:tr>
      <w:tr w:rsidR="00542AC7" w:rsidRPr="00924C46" w14:paraId="2CF75A6F" w14:textId="77777777" w:rsidTr="00B42E7C">
        <w:trPr>
          <w:trHeight w:val="583"/>
        </w:trPr>
        <w:tc>
          <w:tcPr>
            <w:tcW w:w="1788" w:type="dxa"/>
            <w:tcBorders>
              <w:top w:val="single" w:sz="4" w:space="0" w:color="auto"/>
            </w:tcBorders>
            <w:shd w:val="clear" w:color="auto" w:fill="auto"/>
            <w:noWrap/>
            <w:vAlign w:val="center"/>
            <w:hideMark/>
          </w:tcPr>
          <w:p w14:paraId="2CF75A6B" w14:textId="77777777" w:rsidR="00542AC7" w:rsidRPr="00924C46" w:rsidRDefault="00542AC7" w:rsidP="001F3669">
            <w:pPr>
              <w:spacing w:before="240" w:line="240" w:lineRule="auto"/>
              <w:ind w:firstLine="0"/>
              <w:rPr>
                <w:rFonts w:eastAsia="Times New Roman" w:cs="Times New Roman"/>
                <w:color w:val="000000"/>
                <w:szCs w:val="24"/>
                <w:lang w:eastAsia="pt-BR"/>
              </w:rPr>
            </w:pPr>
            <w:r w:rsidRPr="00924C46">
              <w:rPr>
                <w:rFonts w:eastAsia="Times New Roman" w:cs="Times New Roman"/>
                <w:color w:val="000000"/>
                <w:szCs w:val="24"/>
                <w:lang w:eastAsia="pt-BR"/>
              </w:rPr>
              <w:t>1960-1970</w:t>
            </w:r>
          </w:p>
        </w:tc>
        <w:tc>
          <w:tcPr>
            <w:tcW w:w="2388" w:type="dxa"/>
            <w:tcBorders>
              <w:top w:val="single" w:sz="4" w:space="0" w:color="auto"/>
            </w:tcBorders>
            <w:shd w:val="clear" w:color="auto" w:fill="auto"/>
            <w:noWrap/>
            <w:vAlign w:val="bottom"/>
            <w:hideMark/>
          </w:tcPr>
          <w:p w14:paraId="2CF75A6C"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-8,67%</w:t>
            </w:r>
          </w:p>
        </w:tc>
        <w:tc>
          <w:tcPr>
            <w:tcW w:w="2810" w:type="dxa"/>
            <w:tcBorders>
              <w:top w:val="single" w:sz="4" w:space="0" w:color="auto"/>
              <w:left w:val="nil"/>
            </w:tcBorders>
            <w:shd w:val="clear" w:color="auto" w:fill="auto"/>
            <w:noWrap/>
            <w:vAlign w:val="bottom"/>
            <w:hideMark/>
          </w:tcPr>
          <w:p w14:paraId="2CF75A6D"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1,90%</w:t>
            </w:r>
          </w:p>
        </w:tc>
        <w:tc>
          <w:tcPr>
            <w:tcW w:w="2435" w:type="dxa"/>
            <w:tcBorders>
              <w:top w:val="single" w:sz="4" w:space="0" w:color="auto"/>
              <w:left w:val="nil"/>
            </w:tcBorders>
            <w:shd w:val="clear" w:color="auto" w:fill="auto"/>
            <w:noWrap/>
            <w:vAlign w:val="bottom"/>
            <w:hideMark/>
          </w:tcPr>
          <w:p w14:paraId="2CF75A6E"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6,88%</w:t>
            </w:r>
          </w:p>
        </w:tc>
      </w:tr>
      <w:tr w:rsidR="00542AC7" w:rsidRPr="00924C46" w14:paraId="2CF75A74" w14:textId="77777777" w:rsidTr="00B42E7C">
        <w:trPr>
          <w:trHeight w:val="583"/>
        </w:trPr>
        <w:tc>
          <w:tcPr>
            <w:tcW w:w="1788" w:type="dxa"/>
            <w:shd w:val="clear" w:color="auto" w:fill="auto"/>
            <w:noWrap/>
            <w:vAlign w:val="center"/>
            <w:hideMark/>
          </w:tcPr>
          <w:p w14:paraId="2CF75A70" w14:textId="77777777" w:rsidR="00542AC7" w:rsidRPr="00924C46" w:rsidRDefault="00542AC7" w:rsidP="001F3669">
            <w:pPr>
              <w:spacing w:before="240" w:line="240" w:lineRule="auto"/>
              <w:ind w:firstLine="0"/>
              <w:rPr>
                <w:rFonts w:eastAsia="Times New Roman" w:cs="Times New Roman"/>
                <w:color w:val="000000"/>
                <w:szCs w:val="24"/>
                <w:lang w:eastAsia="pt-BR"/>
              </w:rPr>
            </w:pPr>
            <w:r w:rsidRPr="00924C46">
              <w:rPr>
                <w:rFonts w:eastAsia="Times New Roman" w:cs="Times New Roman"/>
                <w:color w:val="000000"/>
                <w:szCs w:val="24"/>
                <w:lang w:eastAsia="pt-BR"/>
              </w:rPr>
              <w:t>1970-1980</w:t>
            </w:r>
          </w:p>
        </w:tc>
        <w:tc>
          <w:tcPr>
            <w:tcW w:w="2388" w:type="dxa"/>
            <w:shd w:val="clear" w:color="auto" w:fill="auto"/>
            <w:noWrap/>
            <w:vAlign w:val="bottom"/>
            <w:hideMark/>
          </w:tcPr>
          <w:p w14:paraId="2CF75A71"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-0,05%</w:t>
            </w:r>
          </w:p>
        </w:tc>
        <w:tc>
          <w:tcPr>
            <w:tcW w:w="2810" w:type="dxa"/>
            <w:tcBorders>
              <w:left w:val="nil"/>
            </w:tcBorders>
            <w:shd w:val="clear" w:color="auto" w:fill="auto"/>
            <w:noWrap/>
            <w:vAlign w:val="bottom"/>
            <w:hideMark/>
          </w:tcPr>
          <w:p w14:paraId="2CF75A72"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14,61%</w:t>
            </w:r>
          </w:p>
        </w:tc>
        <w:tc>
          <w:tcPr>
            <w:tcW w:w="2435" w:type="dxa"/>
            <w:tcBorders>
              <w:left w:val="nil"/>
            </w:tcBorders>
            <w:shd w:val="clear" w:color="auto" w:fill="auto"/>
            <w:noWrap/>
            <w:vAlign w:val="bottom"/>
            <w:hideMark/>
          </w:tcPr>
          <w:p w14:paraId="2CF75A73"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10,39%</w:t>
            </w:r>
          </w:p>
        </w:tc>
      </w:tr>
      <w:tr w:rsidR="00542AC7" w:rsidRPr="00924C46" w14:paraId="2CF75A79" w14:textId="77777777" w:rsidTr="00B42E7C">
        <w:trPr>
          <w:trHeight w:val="583"/>
        </w:trPr>
        <w:tc>
          <w:tcPr>
            <w:tcW w:w="1788" w:type="dxa"/>
            <w:shd w:val="clear" w:color="auto" w:fill="auto"/>
            <w:noWrap/>
            <w:vAlign w:val="center"/>
            <w:hideMark/>
          </w:tcPr>
          <w:p w14:paraId="2CF75A75" w14:textId="77777777" w:rsidR="00542AC7" w:rsidRPr="00924C46" w:rsidRDefault="00542AC7" w:rsidP="001F3669">
            <w:pPr>
              <w:spacing w:before="240" w:line="240" w:lineRule="auto"/>
              <w:ind w:firstLine="0"/>
              <w:rPr>
                <w:rFonts w:eastAsia="Times New Roman" w:cs="Times New Roman"/>
                <w:color w:val="000000"/>
                <w:szCs w:val="24"/>
                <w:lang w:eastAsia="pt-BR"/>
              </w:rPr>
            </w:pPr>
            <w:r w:rsidRPr="00924C46">
              <w:rPr>
                <w:rFonts w:eastAsia="Times New Roman" w:cs="Times New Roman"/>
                <w:color w:val="000000"/>
                <w:szCs w:val="24"/>
                <w:lang w:eastAsia="pt-BR"/>
              </w:rPr>
              <w:t>1980-1990</w:t>
            </w:r>
          </w:p>
        </w:tc>
        <w:tc>
          <w:tcPr>
            <w:tcW w:w="2388" w:type="dxa"/>
            <w:shd w:val="clear" w:color="auto" w:fill="auto"/>
            <w:noWrap/>
            <w:vAlign w:val="bottom"/>
            <w:hideMark/>
          </w:tcPr>
          <w:p w14:paraId="2CF75A76"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-0,45%</w:t>
            </w:r>
          </w:p>
        </w:tc>
        <w:tc>
          <w:tcPr>
            <w:tcW w:w="2810" w:type="dxa"/>
            <w:tcBorders>
              <w:left w:val="nil"/>
            </w:tcBorders>
            <w:shd w:val="clear" w:color="auto" w:fill="auto"/>
            <w:noWrap/>
            <w:vAlign w:val="bottom"/>
            <w:hideMark/>
          </w:tcPr>
          <w:p w14:paraId="2CF75A77"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1,42%</w:t>
            </w:r>
          </w:p>
        </w:tc>
        <w:tc>
          <w:tcPr>
            <w:tcW w:w="2435" w:type="dxa"/>
            <w:tcBorders>
              <w:left w:val="nil"/>
            </w:tcBorders>
            <w:shd w:val="clear" w:color="auto" w:fill="auto"/>
            <w:noWrap/>
            <w:vAlign w:val="bottom"/>
            <w:hideMark/>
          </w:tcPr>
          <w:p w14:paraId="2CF75A78"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6,18%</w:t>
            </w:r>
          </w:p>
        </w:tc>
      </w:tr>
      <w:tr w:rsidR="00542AC7" w:rsidRPr="00924C46" w14:paraId="2CF75A7E" w14:textId="77777777" w:rsidTr="00B42E7C">
        <w:trPr>
          <w:trHeight w:val="583"/>
        </w:trPr>
        <w:tc>
          <w:tcPr>
            <w:tcW w:w="1788" w:type="dxa"/>
            <w:shd w:val="clear" w:color="auto" w:fill="auto"/>
            <w:noWrap/>
            <w:vAlign w:val="center"/>
            <w:hideMark/>
          </w:tcPr>
          <w:p w14:paraId="2CF75A7A" w14:textId="77777777" w:rsidR="00542AC7" w:rsidRPr="00924C46" w:rsidRDefault="00542AC7" w:rsidP="001F3669">
            <w:pPr>
              <w:spacing w:before="240" w:line="240" w:lineRule="auto"/>
              <w:ind w:firstLine="0"/>
              <w:rPr>
                <w:rFonts w:eastAsia="Times New Roman" w:cs="Times New Roman"/>
                <w:color w:val="000000"/>
                <w:szCs w:val="24"/>
                <w:lang w:eastAsia="pt-BR"/>
              </w:rPr>
            </w:pPr>
            <w:r w:rsidRPr="00924C46">
              <w:rPr>
                <w:rFonts w:eastAsia="Times New Roman" w:cs="Times New Roman"/>
                <w:color w:val="000000"/>
                <w:szCs w:val="24"/>
                <w:lang w:eastAsia="pt-BR"/>
              </w:rPr>
              <w:t>1990-2000</w:t>
            </w:r>
          </w:p>
        </w:tc>
        <w:tc>
          <w:tcPr>
            <w:tcW w:w="2388" w:type="dxa"/>
            <w:shd w:val="clear" w:color="auto" w:fill="auto"/>
            <w:noWrap/>
            <w:vAlign w:val="bottom"/>
            <w:hideMark/>
          </w:tcPr>
          <w:p w14:paraId="2CF75A7B"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0,27%</w:t>
            </w:r>
          </w:p>
        </w:tc>
        <w:tc>
          <w:tcPr>
            <w:tcW w:w="2810" w:type="dxa"/>
            <w:tcBorders>
              <w:left w:val="nil"/>
            </w:tcBorders>
            <w:shd w:val="clear" w:color="auto" w:fill="auto"/>
            <w:noWrap/>
            <w:vAlign w:val="bottom"/>
            <w:hideMark/>
          </w:tcPr>
          <w:p w14:paraId="2CF75A7C"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3,54%</w:t>
            </w:r>
          </w:p>
        </w:tc>
        <w:tc>
          <w:tcPr>
            <w:tcW w:w="2435" w:type="dxa"/>
            <w:tcBorders>
              <w:left w:val="nil"/>
            </w:tcBorders>
            <w:shd w:val="clear" w:color="auto" w:fill="auto"/>
            <w:noWrap/>
            <w:vAlign w:val="bottom"/>
            <w:hideMark/>
          </w:tcPr>
          <w:p w14:paraId="2CF75A7D"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2,22%</w:t>
            </w:r>
          </w:p>
        </w:tc>
      </w:tr>
      <w:tr w:rsidR="00542AC7" w:rsidRPr="00924C46" w14:paraId="2CF75A83" w14:textId="77777777" w:rsidTr="00B42E7C">
        <w:trPr>
          <w:trHeight w:val="583"/>
        </w:trPr>
        <w:tc>
          <w:tcPr>
            <w:tcW w:w="1788" w:type="dxa"/>
            <w:tcBorders>
              <w:bottom w:val="single" w:sz="4" w:space="0" w:color="auto"/>
            </w:tcBorders>
            <w:shd w:val="clear" w:color="auto" w:fill="auto"/>
            <w:noWrap/>
            <w:vAlign w:val="center"/>
            <w:hideMark/>
          </w:tcPr>
          <w:p w14:paraId="2CF75A7F" w14:textId="77777777" w:rsidR="00542AC7" w:rsidRPr="00924C46" w:rsidRDefault="00542AC7" w:rsidP="001F3669">
            <w:pPr>
              <w:spacing w:before="240" w:line="240" w:lineRule="auto"/>
              <w:ind w:firstLine="0"/>
              <w:rPr>
                <w:rFonts w:eastAsia="Times New Roman" w:cs="Times New Roman"/>
                <w:color w:val="000000"/>
                <w:szCs w:val="24"/>
                <w:lang w:eastAsia="pt-BR"/>
              </w:rPr>
            </w:pPr>
            <w:r w:rsidRPr="00924C46">
              <w:rPr>
                <w:rFonts w:eastAsia="Times New Roman" w:cs="Times New Roman"/>
                <w:color w:val="000000"/>
                <w:szCs w:val="24"/>
                <w:lang w:eastAsia="pt-BR"/>
              </w:rPr>
              <w:t>2000-2010</w:t>
            </w:r>
          </w:p>
        </w:tc>
        <w:tc>
          <w:tcPr>
            <w:tcW w:w="2388" w:type="dxa"/>
            <w:tcBorders>
              <w:bottom w:val="single" w:sz="4" w:space="0" w:color="auto"/>
            </w:tcBorders>
            <w:shd w:val="clear" w:color="auto" w:fill="auto"/>
            <w:noWrap/>
            <w:vAlign w:val="bottom"/>
            <w:hideMark/>
          </w:tcPr>
          <w:p w14:paraId="2CF75A80"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-3,12%</w:t>
            </w:r>
          </w:p>
        </w:tc>
        <w:tc>
          <w:tcPr>
            <w:tcW w:w="2810" w:type="dxa"/>
            <w:tcBorders>
              <w:left w:val="nil"/>
              <w:bottom w:val="single" w:sz="4" w:space="0" w:color="auto"/>
            </w:tcBorders>
            <w:shd w:val="clear" w:color="auto" w:fill="auto"/>
            <w:noWrap/>
            <w:vAlign w:val="bottom"/>
            <w:hideMark/>
          </w:tcPr>
          <w:p w14:paraId="2CF75A81"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1,87%</w:t>
            </w:r>
          </w:p>
        </w:tc>
        <w:tc>
          <w:tcPr>
            <w:tcW w:w="2435" w:type="dxa"/>
            <w:tcBorders>
              <w:left w:val="nil"/>
              <w:bottom w:val="single" w:sz="4" w:space="0" w:color="auto"/>
            </w:tcBorders>
            <w:shd w:val="clear" w:color="auto" w:fill="auto"/>
            <w:noWrap/>
            <w:vAlign w:val="bottom"/>
            <w:hideMark/>
          </w:tcPr>
          <w:p w14:paraId="2CF75A82" w14:textId="77777777" w:rsidR="00542AC7" w:rsidRPr="00924C46" w:rsidRDefault="00542AC7" w:rsidP="00B42E7C">
            <w:pPr>
              <w:spacing w:before="240" w:line="240" w:lineRule="auto"/>
              <w:jc w:val="center"/>
              <w:rPr>
                <w:rFonts w:eastAsia="Times New Roman" w:cs="Times New Roman"/>
                <w:color w:val="000000"/>
                <w:szCs w:val="24"/>
                <w:lang w:eastAsia="pt-BR"/>
              </w:rPr>
            </w:pPr>
            <w:r w:rsidRPr="00924C46">
              <w:rPr>
                <w:rFonts w:eastAsia="Times New Roman" w:cs="Times New Roman"/>
                <w:color w:val="000000"/>
                <w:szCs w:val="24"/>
                <w:lang w:eastAsia="pt-BR"/>
              </w:rPr>
              <w:t>2,11%</w:t>
            </w:r>
          </w:p>
        </w:tc>
      </w:tr>
    </w:tbl>
    <w:p w14:paraId="2CF75A84" w14:textId="77777777" w:rsidR="00542AC7" w:rsidRPr="001D184D" w:rsidRDefault="00542AC7" w:rsidP="00542AC7">
      <w:pPr>
        <w:rPr>
          <w:rFonts w:cs="Times New Roman"/>
          <w:sz w:val="20"/>
          <w:szCs w:val="20"/>
        </w:rPr>
      </w:pPr>
      <w:r w:rsidRPr="001D184D">
        <w:rPr>
          <w:rFonts w:cs="Times New Roman"/>
          <w:sz w:val="20"/>
          <w:szCs w:val="20"/>
        </w:rPr>
        <w:t>FONTE: dados fornecidos pelo Instituto Brasileiro de Geografia e Estatística (IBGE, 2010)</w:t>
      </w:r>
    </w:p>
    <w:p w14:paraId="2CF75A85" w14:textId="77777777" w:rsidR="00542AC7" w:rsidRDefault="00542AC7" w:rsidP="00542AC7">
      <w:pPr>
        <w:jc w:val="center"/>
        <w:rPr>
          <w:rFonts w:cs="Times New Roman"/>
          <w:szCs w:val="24"/>
        </w:rPr>
      </w:pPr>
    </w:p>
    <w:p w14:paraId="2CF75A86" w14:textId="77777777" w:rsidR="00542AC7" w:rsidRDefault="00542AC7" w:rsidP="00542AC7">
      <w:pPr>
        <w:rPr>
          <w:rFonts w:cs="Times New Roman"/>
          <w:szCs w:val="24"/>
        </w:rPr>
      </w:pPr>
      <w:r>
        <w:rPr>
          <w:rFonts w:cs="Times New Roman"/>
          <w:szCs w:val="24"/>
        </w:rPr>
        <w:t xml:space="preserve">Como se observa na tabela acima, a participação da PEA no setor primário decresce enquanto as atividades realizadas pelos setores urbanos apresentam taxas de crescimento positivas até os presentes dias. Muito além de serem dados apenas economicistas, esses números revelam o andamento do processo de urbanização de Pau dos Ferros sobre diferentes aspectos: </w:t>
      </w:r>
      <w:r>
        <w:rPr>
          <w:rFonts w:cs="Times New Roman"/>
          <w:i/>
          <w:szCs w:val="24"/>
        </w:rPr>
        <w:t>a)</w:t>
      </w:r>
      <w:r>
        <w:rPr>
          <w:rFonts w:cs="Times New Roman"/>
          <w:szCs w:val="24"/>
        </w:rPr>
        <w:t xml:space="preserve"> crescimento da demografia urbana em detrimento da rural como resultado das migrações; </w:t>
      </w:r>
      <w:r>
        <w:rPr>
          <w:rFonts w:cs="Times New Roman"/>
          <w:i/>
          <w:szCs w:val="24"/>
        </w:rPr>
        <w:t>b)</w:t>
      </w:r>
      <w:r>
        <w:rPr>
          <w:rFonts w:cs="Times New Roman"/>
          <w:szCs w:val="24"/>
        </w:rPr>
        <w:t xml:space="preserve"> emergência das atividades que têm como berço o meio urbano, como são os casos dos setores secundário e terciário e que, como tais, demandam investimentos públicos em infraestrutura urbana; e </w:t>
      </w:r>
      <w:r>
        <w:rPr>
          <w:rFonts w:cs="Times New Roman"/>
          <w:i/>
          <w:szCs w:val="24"/>
        </w:rPr>
        <w:t>c)</w:t>
      </w:r>
      <w:r>
        <w:rPr>
          <w:rFonts w:cs="Times New Roman"/>
          <w:szCs w:val="24"/>
        </w:rPr>
        <w:t xml:space="preserve"> a absorção das massas antes ocupadas com as atividades do campo realizada pelos setores urbanos.</w:t>
      </w:r>
    </w:p>
    <w:p w14:paraId="2CF75A87" w14:textId="77777777" w:rsidR="00B47F7D" w:rsidRDefault="00B47F7D" w:rsidP="00542AC7">
      <w:pPr>
        <w:rPr>
          <w:rFonts w:cs="Times New Roman"/>
          <w:szCs w:val="24"/>
        </w:rPr>
      </w:pPr>
    </w:p>
    <w:p w14:paraId="2CF75A88" w14:textId="77777777" w:rsidR="00FF33DD" w:rsidRPr="00FF33DD" w:rsidRDefault="00B47F7D" w:rsidP="00B47F7D">
      <w:pPr>
        <w:ind w:firstLine="0"/>
        <w:rPr>
          <w:rFonts w:cs="Times New Roman"/>
          <w:b/>
          <w:szCs w:val="24"/>
        </w:rPr>
      </w:pPr>
      <w:r>
        <w:rPr>
          <w:rFonts w:cs="Times New Roman"/>
          <w:b/>
          <w:szCs w:val="24"/>
        </w:rPr>
        <w:t xml:space="preserve">3 CONSIDERAÇÕES FINAIS </w:t>
      </w:r>
    </w:p>
    <w:p w14:paraId="2CF75A89" w14:textId="77777777" w:rsidR="00542AC7" w:rsidRDefault="00542AC7" w:rsidP="00542AC7">
      <w:pPr>
        <w:rPr>
          <w:rFonts w:cs="Times New Roman"/>
          <w:szCs w:val="24"/>
        </w:rPr>
      </w:pPr>
      <w:r>
        <w:rPr>
          <w:rFonts w:cs="Times New Roman"/>
          <w:szCs w:val="24"/>
        </w:rPr>
        <w:t xml:space="preserve">Nessa perspectiva, pode-se considerar que Pau dos Ferros é um núcleo urbano em contínuo processo de desenvolvimento. Acima, foi mostrado essa dinâmica até o ano de 2010 principalmente no que diz respeito ao crescimento demográfico, demografia urbana e distribuição dessas massas nos diferentes setores da economia municipal. No entanto, precisa-se entender que tal processo ganha corpo à medida que novos investimentos públicos e privados se materializam nesse espaço. Nesse sentido, a ampliação dos serviços públicos que ocorreu entre 2010 e 2012 atraiu diversos investimentos privados, além de ter aquecido o comércio imobiliário (MONTEIRO </w:t>
      </w:r>
      <w:r>
        <w:rPr>
          <w:rFonts w:cs="Times New Roman"/>
          <w:i/>
          <w:szCs w:val="24"/>
        </w:rPr>
        <w:t>et al</w:t>
      </w:r>
      <w:r>
        <w:rPr>
          <w:rFonts w:cs="Times New Roman"/>
          <w:szCs w:val="24"/>
        </w:rPr>
        <w:t>, 2014). Assim, pretende-</w:t>
      </w:r>
      <w:r>
        <w:rPr>
          <w:rFonts w:cs="Times New Roman"/>
          <w:szCs w:val="24"/>
        </w:rPr>
        <w:lastRenderedPageBreak/>
        <w:t xml:space="preserve">se a partir dos próximos tópicos debater os impactos dos gastos públicos na dinâmica econômica de Pau dos Ferros e consequentemente no seu processo de urbanização. </w:t>
      </w:r>
    </w:p>
    <w:p w14:paraId="2CF75A8A" w14:textId="77777777" w:rsidR="000D2C76" w:rsidRDefault="000D2C76" w:rsidP="00542AC7">
      <w:pPr>
        <w:rPr>
          <w:rFonts w:cs="Times New Roman"/>
          <w:szCs w:val="24"/>
        </w:rPr>
      </w:pPr>
    </w:p>
    <w:p w14:paraId="2CF75A8B" w14:textId="77777777" w:rsidR="000D2C76" w:rsidRDefault="000D2C76" w:rsidP="000D2C76">
      <w:pPr>
        <w:ind w:firstLine="0"/>
        <w:jc w:val="left"/>
        <w:rPr>
          <w:rFonts w:cs="Times New Roman"/>
          <w:b/>
          <w:szCs w:val="24"/>
        </w:rPr>
      </w:pPr>
      <w:r>
        <w:rPr>
          <w:rFonts w:cs="Times New Roman"/>
          <w:b/>
          <w:szCs w:val="24"/>
        </w:rPr>
        <w:t xml:space="preserve">REFERÊNCIAS BIBLIORÁFICAS </w:t>
      </w:r>
    </w:p>
    <w:p w14:paraId="2CF75A8C" w14:textId="77777777" w:rsidR="00005ABE" w:rsidRDefault="00005ABE" w:rsidP="00005ABE">
      <w:pPr>
        <w:spacing w:line="240" w:lineRule="auto"/>
        <w:ind w:firstLine="0"/>
        <w:rPr>
          <w:rFonts w:cs="Times New Roman"/>
          <w:szCs w:val="24"/>
        </w:rPr>
      </w:pPr>
      <w:r w:rsidRPr="000C1A88">
        <w:rPr>
          <w:rFonts w:cs="Times New Roman"/>
          <w:szCs w:val="24"/>
        </w:rPr>
        <w:t xml:space="preserve">BARRETO, José Jácome. </w:t>
      </w:r>
      <w:r w:rsidRPr="000C1A88">
        <w:rPr>
          <w:rFonts w:cs="Times New Roman"/>
          <w:b/>
          <w:szCs w:val="24"/>
        </w:rPr>
        <w:t xml:space="preserve">Pau dos Ferros: História, Tradição e </w:t>
      </w:r>
      <w:proofErr w:type="spellStart"/>
      <w:r w:rsidRPr="000C1A88">
        <w:rPr>
          <w:rFonts w:cs="Times New Roman"/>
          <w:b/>
          <w:szCs w:val="24"/>
        </w:rPr>
        <w:t>Realiade</w:t>
      </w:r>
      <w:proofErr w:type="spellEnd"/>
      <w:r w:rsidRPr="000C1A88">
        <w:rPr>
          <w:rFonts w:cs="Times New Roman"/>
          <w:szCs w:val="24"/>
        </w:rPr>
        <w:t>. Editora Carlos Lima, 1987.</w:t>
      </w:r>
    </w:p>
    <w:p w14:paraId="2CF75A8D" w14:textId="77777777" w:rsidR="00027B70" w:rsidRDefault="00027B70" w:rsidP="00434046">
      <w:pPr>
        <w:ind w:firstLine="0"/>
      </w:pPr>
    </w:p>
    <w:p w14:paraId="2CF75A8E" w14:textId="77777777" w:rsidR="00005ABE" w:rsidRDefault="00005ABE" w:rsidP="00005ABE">
      <w:pPr>
        <w:spacing w:line="240" w:lineRule="auto"/>
        <w:ind w:firstLine="0"/>
        <w:rPr>
          <w:rFonts w:eastAsia="Arial" w:cs="Times New Roman"/>
          <w:szCs w:val="24"/>
        </w:rPr>
      </w:pPr>
      <w:r w:rsidRPr="000C1A88">
        <w:rPr>
          <w:rFonts w:eastAsia="Arial" w:cs="Times New Roman"/>
          <w:szCs w:val="24"/>
        </w:rPr>
        <w:t xml:space="preserve">DANTAS, </w:t>
      </w:r>
      <w:proofErr w:type="spellStart"/>
      <w:r w:rsidRPr="000C1A88">
        <w:rPr>
          <w:rFonts w:eastAsia="Arial" w:cs="Times New Roman"/>
          <w:szCs w:val="24"/>
        </w:rPr>
        <w:t>Joseney</w:t>
      </w:r>
      <w:proofErr w:type="spellEnd"/>
      <w:r w:rsidRPr="000C1A88">
        <w:rPr>
          <w:rFonts w:eastAsia="Arial" w:cs="Times New Roman"/>
          <w:szCs w:val="24"/>
        </w:rPr>
        <w:t xml:space="preserve"> Rodrigues de Queiroz. </w:t>
      </w:r>
      <w:r w:rsidRPr="000C1A88">
        <w:rPr>
          <w:rFonts w:eastAsia="Arial" w:cs="Times New Roman"/>
          <w:b/>
          <w:szCs w:val="24"/>
        </w:rPr>
        <w:t>As Cidades Médias no Desenvolvimento Regional</w:t>
      </w:r>
      <w:r w:rsidRPr="000C1A88">
        <w:rPr>
          <w:rFonts w:eastAsia="Arial" w:cs="Times New Roman"/>
          <w:szCs w:val="24"/>
        </w:rPr>
        <w:t xml:space="preserve">: </w:t>
      </w:r>
      <w:r w:rsidRPr="000C1A88">
        <w:rPr>
          <w:rFonts w:eastAsia="Arial" w:cs="Times New Roman"/>
          <w:b/>
          <w:szCs w:val="24"/>
        </w:rPr>
        <w:t>Um Estudo Sobre Pau dos Ferros</w:t>
      </w:r>
      <w:r w:rsidRPr="000C1A88">
        <w:rPr>
          <w:rFonts w:eastAsia="Arial" w:cs="Times New Roman"/>
          <w:szCs w:val="24"/>
        </w:rPr>
        <w:t xml:space="preserve">. 2014. Tese (Doutorado em Ciências Sociais) – Programa de Pós-Graduação em Ciências Sociais, Universidade Federal do Rio Grande do Norte, Natal, 2014. </w:t>
      </w:r>
    </w:p>
    <w:p w14:paraId="2CF75A8F" w14:textId="77777777" w:rsidR="00B541C0" w:rsidRDefault="00B541C0" w:rsidP="00005ABE">
      <w:pPr>
        <w:spacing w:line="240" w:lineRule="auto"/>
        <w:ind w:firstLine="0"/>
        <w:rPr>
          <w:rFonts w:eastAsia="Arial" w:cs="Times New Roman"/>
          <w:szCs w:val="24"/>
        </w:rPr>
      </w:pPr>
    </w:p>
    <w:p w14:paraId="2CF75A90" w14:textId="77777777" w:rsidR="00B541C0" w:rsidRDefault="00B541C0" w:rsidP="00B541C0">
      <w:pPr>
        <w:spacing w:line="240" w:lineRule="auto"/>
        <w:ind w:firstLine="0"/>
        <w:rPr>
          <w:rFonts w:cs="Times New Roman"/>
        </w:rPr>
      </w:pPr>
      <w:r w:rsidRPr="0050780A">
        <w:rPr>
          <w:rFonts w:cs="Times New Roman"/>
        </w:rPr>
        <w:t xml:space="preserve">IBGE – Instituto Brasileiro de Geografia e Estatística. </w:t>
      </w:r>
      <w:r w:rsidRPr="0050780A">
        <w:rPr>
          <w:rFonts w:cs="Times New Roman"/>
          <w:b/>
        </w:rPr>
        <w:t xml:space="preserve">Região de Influência das Cidades - 2007. </w:t>
      </w:r>
      <w:r w:rsidRPr="0050780A">
        <w:rPr>
          <w:rFonts w:cs="Times New Roman"/>
        </w:rPr>
        <w:t>Rio de Janeiro: IBGE, 2008.</w:t>
      </w:r>
    </w:p>
    <w:p w14:paraId="2CF75A91" w14:textId="77777777" w:rsidR="00005ABE" w:rsidRDefault="00005ABE" w:rsidP="00005ABE">
      <w:pPr>
        <w:spacing w:line="240" w:lineRule="auto"/>
        <w:ind w:firstLine="0"/>
      </w:pPr>
    </w:p>
    <w:p w14:paraId="2CF75A92" w14:textId="77777777" w:rsidR="00005ABE" w:rsidRDefault="00005ABE" w:rsidP="00005ABE">
      <w:pPr>
        <w:spacing w:line="240" w:lineRule="auto"/>
        <w:ind w:firstLine="0"/>
      </w:pPr>
      <w:r w:rsidRPr="00B400A3">
        <w:t xml:space="preserve">MONTEIRO, J. R.; NASCIMENTO, C. A. </w:t>
      </w:r>
      <w:proofErr w:type="gramStart"/>
      <w:r w:rsidRPr="00B400A3">
        <w:t>A. ;</w:t>
      </w:r>
      <w:proofErr w:type="gramEnd"/>
      <w:r w:rsidRPr="00B400A3">
        <w:t xml:space="preserve"> DANTAS, J. R. Q. . A Interiorização Do Ensino Superior E Seus Rebatimentos No Setor Imobiliário Em Cidades Médias: Um Estudo Sobre Pau Dos Ferros-RN. In: Larissa da Silva Ferreira Alves; </w:t>
      </w:r>
      <w:proofErr w:type="spellStart"/>
      <w:r w:rsidRPr="00B400A3">
        <w:t>Joseney</w:t>
      </w:r>
      <w:proofErr w:type="spellEnd"/>
      <w:r w:rsidRPr="00B400A3">
        <w:t xml:space="preserve"> Rodrigues de Queiroz Dantas; Alcides Leão Santos Júnior. (Org.). </w:t>
      </w:r>
      <w:r w:rsidRPr="00B400A3">
        <w:rPr>
          <w:b/>
          <w:bCs/>
        </w:rPr>
        <w:t>I Encontro de Planejamento Urbano-Regional do Semiárido</w:t>
      </w:r>
      <w:r w:rsidRPr="00B400A3">
        <w:t>. 01ed.Natal: CCHLA, 2016, v. 01, p. 78-87</w:t>
      </w:r>
      <w:r>
        <w:t xml:space="preserve">. </w:t>
      </w:r>
    </w:p>
    <w:p w14:paraId="6F606494" w14:textId="77777777" w:rsidR="00393961" w:rsidRDefault="00393961" w:rsidP="00005ABE">
      <w:pPr>
        <w:spacing w:line="240" w:lineRule="auto"/>
        <w:ind w:firstLine="0"/>
      </w:pPr>
    </w:p>
    <w:p w14:paraId="5FFF6844" w14:textId="2B1AB62E" w:rsidR="00393961" w:rsidRPr="00785412" w:rsidRDefault="00393961" w:rsidP="00005ABE">
      <w:pPr>
        <w:spacing w:line="240" w:lineRule="auto"/>
        <w:ind w:firstLine="0"/>
      </w:pPr>
      <w:r>
        <w:t xml:space="preserve">MONTEIRO, J. R. </w:t>
      </w:r>
      <w:r w:rsidR="008C67B7">
        <w:rPr>
          <w:i/>
        </w:rPr>
        <w:t>Estado e Urbanização: o</w:t>
      </w:r>
      <w:r w:rsidR="00785412">
        <w:rPr>
          <w:i/>
        </w:rPr>
        <w:t xml:space="preserve"> Papel dos Investimentos Estatais no Processo de Urbanização de Pau dos Ferros-RN.</w:t>
      </w:r>
      <w:r w:rsidR="00785412">
        <w:t xml:space="preserve"> 2018. 64 f. Monografia (graduação em Ciências Econômicas) </w:t>
      </w:r>
      <w:r w:rsidR="00584796">
        <w:t xml:space="preserve">– Universidade do Estado do Rio Grande do Norte (UERN) – Pau dos Ferros-RN, 2018. </w:t>
      </w:r>
    </w:p>
    <w:p w14:paraId="2CF75A93" w14:textId="77777777" w:rsidR="003114C1" w:rsidRDefault="003114C1" w:rsidP="00005ABE">
      <w:pPr>
        <w:spacing w:line="240" w:lineRule="auto"/>
        <w:ind w:firstLine="0"/>
      </w:pPr>
    </w:p>
    <w:p w14:paraId="2CF75A94" w14:textId="77777777" w:rsidR="00B541C0" w:rsidRPr="00245FA9" w:rsidRDefault="00B541C0" w:rsidP="00B541C0">
      <w:pPr>
        <w:spacing w:line="240" w:lineRule="auto"/>
        <w:ind w:firstLine="0"/>
        <w:rPr>
          <w:rFonts w:cs="Times New Roman"/>
          <w:szCs w:val="24"/>
        </w:rPr>
      </w:pPr>
      <w:r w:rsidRPr="00245FA9">
        <w:rPr>
          <w:rFonts w:cs="Times New Roman"/>
          <w:color w:val="222222"/>
          <w:szCs w:val="24"/>
          <w:shd w:val="clear" w:color="auto" w:fill="FFFFFF"/>
        </w:rPr>
        <w:t>SINGER, Paul. </w:t>
      </w:r>
      <w:r w:rsidRPr="00245FA9">
        <w:rPr>
          <w:rStyle w:val="Forte"/>
          <w:rFonts w:cs="Times New Roman"/>
          <w:color w:val="222222"/>
          <w:szCs w:val="24"/>
          <w:shd w:val="clear" w:color="auto" w:fill="FFFFFF"/>
        </w:rPr>
        <w:t>Economia Política da Urb</w:t>
      </w:r>
      <w:r>
        <w:rPr>
          <w:rStyle w:val="Forte"/>
          <w:rFonts w:cs="Times New Roman"/>
          <w:color w:val="222222"/>
          <w:szCs w:val="24"/>
          <w:shd w:val="clear" w:color="auto" w:fill="FFFFFF"/>
        </w:rPr>
        <w:t>a</w:t>
      </w:r>
      <w:r w:rsidRPr="00245FA9">
        <w:rPr>
          <w:rStyle w:val="Forte"/>
          <w:rFonts w:cs="Times New Roman"/>
          <w:color w:val="222222"/>
          <w:szCs w:val="24"/>
          <w:shd w:val="clear" w:color="auto" w:fill="FFFFFF"/>
        </w:rPr>
        <w:t>nização. </w:t>
      </w:r>
      <w:r w:rsidRPr="00245FA9">
        <w:rPr>
          <w:rFonts w:cs="Times New Roman"/>
          <w:color w:val="222222"/>
          <w:szCs w:val="24"/>
          <w:shd w:val="clear" w:color="auto" w:fill="FFFFFF"/>
        </w:rPr>
        <w:t>11. ed. São Paulo: Editora Brasiliense, 1987.</w:t>
      </w:r>
      <w:r w:rsidRPr="00245FA9">
        <w:rPr>
          <w:rFonts w:cs="Times New Roman"/>
          <w:szCs w:val="24"/>
        </w:rPr>
        <w:t xml:space="preserve"> </w:t>
      </w:r>
    </w:p>
    <w:p w14:paraId="2CF75A95" w14:textId="77777777" w:rsidR="00B541C0" w:rsidRDefault="00B541C0" w:rsidP="00005ABE">
      <w:pPr>
        <w:spacing w:line="240" w:lineRule="auto"/>
        <w:ind w:firstLine="0"/>
      </w:pPr>
    </w:p>
    <w:p w14:paraId="2CF75A96" w14:textId="77777777" w:rsidR="003114C1" w:rsidRPr="00027B70" w:rsidRDefault="003114C1" w:rsidP="00005ABE">
      <w:pPr>
        <w:spacing w:line="240" w:lineRule="auto"/>
        <w:ind w:firstLine="0"/>
      </w:pPr>
    </w:p>
    <w:p w14:paraId="2CF75A97" w14:textId="77777777" w:rsidR="00027B70" w:rsidRPr="00027B70" w:rsidRDefault="00027B70" w:rsidP="00027B70"/>
    <w:p w14:paraId="2CF75A98" w14:textId="77777777" w:rsidR="00027B70" w:rsidRPr="00027B70" w:rsidRDefault="00027B70" w:rsidP="00027B70"/>
    <w:p w14:paraId="2CF75A99" w14:textId="77777777" w:rsidR="00027B70" w:rsidRPr="00027B70" w:rsidRDefault="00027B70" w:rsidP="00027B70"/>
    <w:p w14:paraId="2CF75A9A" w14:textId="77777777" w:rsidR="00027B70" w:rsidRPr="00027B70" w:rsidRDefault="00027B70" w:rsidP="00027B70"/>
    <w:p w14:paraId="2CF75A9B" w14:textId="77777777" w:rsidR="00027B70" w:rsidRPr="00027B70" w:rsidRDefault="00027B70" w:rsidP="00027B70"/>
    <w:p w14:paraId="2CF75A9C" w14:textId="77777777" w:rsidR="00027B70" w:rsidRPr="00027B70" w:rsidRDefault="00027B70" w:rsidP="00027B70"/>
    <w:p w14:paraId="2CF75A9D" w14:textId="77777777" w:rsidR="00027B70" w:rsidRPr="00027B70" w:rsidRDefault="00027B70" w:rsidP="00027B70"/>
    <w:p w14:paraId="2CF75A9E" w14:textId="77777777" w:rsidR="00027B70" w:rsidRPr="00027B70" w:rsidRDefault="00027B70" w:rsidP="00027B70"/>
    <w:p w14:paraId="2CF75A9F" w14:textId="77777777" w:rsidR="00027B70" w:rsidRPr="00027B70" w:rsidRDefault="00027B70" w:rsidP="00027B70"/>
    <w:p w14:paraId="2CF75AA3" w14:textId="77777777" w:rsidR="00027B70" w:rsidRDefault="00027B70" w:rsidP="00CA06B1">
      <w:pPr>
        <w:ind w:firstLine="0"/>
      </w:pPr>
    </w:p>
    <w:sectPr w:rsid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F8645" w14:textId="77777777" w:rsidR="001B23BF" w:rsidRDefault="001B23BF" w:rsidP="004C7AB7">
      <w:pPr>
        <w:spacing w:line="240" w:lineRule="auto"/>
      </w:pPr>
      <w:r>
        <w:separator/>
      </w:r>
    </w:p>
  </w:endnote>
  <w:endnote w:type="continuationSeparator" w:id="0">
    <w:p w14:paraId="3B28E1C6" w14:textId="77777777" w:rsidR="001B23BF" w:rsidRDefault="001B23B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B0"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B1"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CF75AB7" wp14:editId="2CF75AB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B3"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7BD26" w14:textId="77777777" w:rsidR="001B23BF" w:rsidRDefault="001B23BF" w:rsidP="004C7AB7">
      <w:pPr>
        <w:spacing w:line="240" w:lineRule="auto"/>
      </w:pPr>
      <w:r>
        <w:separator/>
      </w:r>
    </w:p>
  </w:footnote>
  <w:footnote w:type="continuationSeparator" w:id="0">
    <w:p w14:paraId="08A1C58C" w14:textId="77777777" w:rsidR="001B23BF" w:rsidRDefault="001B23B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AE" w14:textId="77777777" w:rsidR="004C7AB7" w:rsidRDefault="001B23BF">
    <w:pPr>
      <w:pStyle w:val="Cabealho"/>
    </w:pPr>
    <w:r>
      <w:rPr>
        <w:noProof/>
      </w:rPr>
      <w:pict w14:anchorId="2CF75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AF"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CF75AB5" wp14:editId="2CF75AB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B2" w14:textId="77777777" w:rsidR="004C7AB7" w:rsidRDefault="001B23BF">
    <w:pPr>
      <w:pStyle w:val="Cabealho"/>
    </w:pPr>
    <w:r>
      <w:rPr>
        <w:noProof/>
      </w:rPr>
      <w:pict w14:anchorId="2CF75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C24E2"/>
    <w:multiLevelType w:val="multilevel"/>
    <w:tmpl w:val="44DAED8C"/>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 w15:restartNumberingAfterBreak="0">
    <w:nsid w:val="207020FC"/>
    <w:multiLevelType w:val="multilevel"/>
    <w:tmpl w:val="3AE2401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67336BBB"/>
    <w:multiLevelType w:val="multilevel"/>
    <w:tmpl w:val="13BC8E1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 w15:restartNumberingAfterBreak="0">
    <w:nsid w:val="763941B3"/>
    <w:multiLevelType w:val="hybridMultilevel"/>
    <w:tmpl w:val="068A1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8DD1AC3"/>
    <w:multiLevelType w:val="multilevel"/>
    <w:tmpl w:val="BAAE59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5ABE"/>
    <w:rsid w:val="00027B70"/>
    <w:rsid w:val="000461B9"/>
    <w:rsid w:val="00063126"/>
    <w:rsid w:val="0007359A"/>
    <w:rsid w:val="0009590C"/>
    <w:rsid w:val="000D2C76"/>
    <w:rsid w:val="0010278D"/>
    <w:rsid w:val="0010290D"/>
    <w:rsid w:val="00122E52"/>
    <w:rsid w:val="00140C4F"/>
    <w:rsid w:val="00185399"/>
    <w:rsid w:val="001B23BF"/>
    <w:rsid w:val="001F3669"/>
    <w:rsid w:val="002006F2"/>
    <w:rsid w:val="00200DAB"/>
    <w:rsid w:val="00215FF1"/>
    <w:rsid w:val="002B6CA6"/>
    <w:rsid w:val="002C0248"/>
    <w:rsid w:val="003114C1"/>
    <w:rsid w:val="00350FAD"/>
    <w:rsid w:val="003730CF"/>
    <w:rsid w:val="0037753B"/>
    <w:rsid w:val="00393961"/>
    <w:rsid w:val="003954AB"/>
    <w:rsid w:val="00434046"/>
    <w:rsid w:val="00437216"/>
    <w:rsid w:val="0044735C"/>
    <w:rsid w:val="00497918"/>
    <w:rsid w:val="004C7AB7"/>
    <w:rsid w:val="004D30B1"/>
    <w:rsid w:val="004E3C06"/>
    <w:rsid w:val="00500771"/>
    <w:rsid w:val="00542AC7"/>
    <w:rsid w:val="00561E18"/>
    <w:rsid w:val="00584796"/>
    <w:rsid w:val="005E46BB"/>
    <w:rsid w:val="005F4ECF"/>
    <w:rsid w:val="00630B92"/>
    <w:rsid w:val="0063234C"/>
    <w:rsid w:val="00667B21"/>
    <w:rsid w:val="00681335"/>
    <w:rsid w:val="006A5007"/>
    <w:rsid w:val="006A6C8E"/>
    <w:rsid w:val="006D6939"/>
    <w:rsid w:val="007066D2"/>
    <w:rsid w:val="00716FBF"/>
    <w:rsid w:val="00785412"/>
    <w:rsid w:val="00835CBE"/>
    <w:rsid w:val="00840EFF"/>
    <w:rsid w:val="008601D2"/>
    <w:rsid w:val="00865382"/>
    <w:rsid w:val="00874E18"/>
    <w:rsid w:val="008C67B7"/>
    <w:rsid w:val="00967A09"/>
    <w:rsid w:val="00975E96"/>
    <w:rsid w:val="00A056B4"/>
    <w:rsid w:val="00A14424"/>
    <w:rsid w:val="00A363EF"/>
    <w:rsid w:val="00A369B6"/>
    <w:rsid w:val="00AA64A4"/>
    <w:rsid w:val="00AD2906"/>
    <w:rsid w:val="00B47F7D"/>
    <w:rsid w:val="00B541C0"/>
    <w:rsid w:val="00B548B5"/>
    <w:rsid w:val="00C330DA"/>
    <w:rsid w:val="00C55108"/>
    <w:rsid w:val="00CA06B1"/>
    <w:rsid w:val="00CB6B28"/>
    <w:rsid w:val="00CC2CB9"/>
    <w:rsid w:val="00CC648E"/>
    <w:rsid w:val="00CE0296"/>
    <w:rsid w:val="00D13160"/>
    <w:rsid w:val="00D55F80"/>
    <w:rsid w:val="00D57D31"/>
    <w:rsid w:val="00DD23E8"/>
    <w:rsid w:val="00E2792E"/>
    <w:rsid w:val="00E46640"/>
    <w:rsid w:val="00EA6FDC"/>
    <w:rsid w:val="00F52E67"/>
    <w:rsid w:val="00F55312"/>
    <w:rsid w:val="00FC5032"/>
    <w:rsid w:val="00FD2213"/>
    <w:rsid w:val="00FF33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CF75A2B"/>
  <w15:docId w15:val="{A787EBF1-AE77-4AF6-B0C4-F578DD4B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9"/>
    <w:qFormat/>
    <w:rsid w:val="00542AC7"/>
    <w:pPr>
      <w:spacing w:before="100" w:beforeAutospacing="1" w:after="100" w:afterAutospacing="1" w:line="240" w:lineRule="auto"/>
      <w:ind w:firstLine="0"/>
      <w:jc w:val="left"/>
      <w:outlineLvl w:val="0"/>
    </w:pPr>
    <w:rPr>
      <w:rFonts w:eastAsia="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542AC7"/>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542AC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42AC7"/>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630B92"/>
    <w:pPr>
      <w:ind w:left="720"/>
      <w:contextualSpacing/>
    </w:pPr>
  </w:style>
  <w:style w:type="character" w:styleId="Hyperlink">
    <w:name w:val="Hyperlink"/>
    <w:basedOn w:val="Fontepargpadro"/>
    <w:uiPriority w:val="99"/>
    <w:unhideWhenUsed/>
    <w:rsid w:val="00B47F7D"/>
    <w:rPr>
      <w:color w:val="0563C1" w:themeColor="hyperlink"/>
      <w:u w:val="single"/>
    </w:rPr>
  </w:style>
  <w:style w:type="character" w:styleId="Forte">
    <w:name w:val="Strong"/>
    <w:basedOn w:val="Fontepargpadro"/>
    <w:uiPriority w:val="22"/>
    <w:qFormat/>
    <w:rsid w:val="00B541C0"/>
    <w:rPr>
      <w:b/>
      <w:bCs/>
    </w:rPr>
  </w:style>
  <w:style w:type="paragraph" w:customStyle="1" w:styleId="Textbody">
    <w:name w:val="Text body"/>
    <w:basedOn w:val="Normal"/>
    <w:rsid w:val="00F52E67"/>
    <w:pPr>
      <w:widowControl w:val="0"/>
      <w:suppressAutoHyphens/>
      <w:autoSpaceDN w:val="0"/>
      <w:spacing w:after="120" w:line="240" w:lineRule="auto"/>
      <w:ind w:firstLine="0"/>
      <w:jc w:val="left"/>
      <w:textAlignment w:val="baseline"/>
    </w:pPr>
    <w:rPr>
      <w:rFonts w:eastAsia="SimSun" w:cs="Mangal"/>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jones2013@bol.com.br" TargetMode="External"/><Relationship Id="rId13" Type="http://schemas.openxmlformats.org/officeDocument/2006/relationships/chart" Target="charts/chart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mhcfilho@yahoo.com.b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kathiele19@hot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Material_Jack_30.05.2018\Calculos%20tx%20cresc%20ano%20da%20popula&#231;&#227;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aterial_Jack_30.05.2018\Calculos%20tx%20cresc%20ano%20da%20popula&#231;&#227;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Material_Jack_30.05.2018\Calculos%20tx%20cresc%20ano%20da%20popula&#231;&#227;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'Calc de Taxa crescimento ano '!$AK$6</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'!$AJ$7:$AJ$14</c:f>
              <c:numCache>
                <c:formatCode>General</c:formatCode>
                <c:ptCount val="8"/>
                <c:pt idx="0">
                  <c:v>1940</c:v>
                </c:pt>
                <c:pt idx="1">
                  <c:v>1950</c:v>
                </c:pt>
                <c:pt idx="2">
                  <c:v>1960</c:v>
                </c:pt>
                <c:pt idx="3">
                  <c:v>1970</c:v>
                </c:pt>
                <c:pt idx="4">
                  <c:v>1980</c:v>
                </c:pt>
                <c:pt idx="5">
                  <c:v>1991</c:v>
                </c:pt>
                <c:pt idx="6">
                  <c:v>2000</c:v>
                </c:pt>
                <c:pt idx="7">
                  <c:v>2010</c:v>
                </c:pt>
              </c:numCache>
            </c:numRef>
          </c:cat>
          <c:val>
            <c:numRef>
              <c:f>'Calc de Taxa crescimento ano '!$AK$7:$AK$14</c:f>
              <c:numCache>
                <c:formatCode>#,##0</c:formatCode>
                <c:ptCount val="8"/>
                <c:pt idx="0">
                  <c:v>14183</c:v>
                </c:pt>
                <c:pt idx="1">
                  <c:v>17517</c:v>
                </c:pt>
                <c:pt idx="2">
                  <c:v>16486</c:v>
                </c:pt>
                <c:pt idx="3">
                  <c:v>12138</c:v>
                </c:pt>
                <c:pt idx="4">
                  <c:v>16216</c:v>
                </c:pt>
                <c:pt idx="5">
                  <c:v>20827</c:v>
                </c:pt>
                <c:pt idx="6">
                  <c:v>24758</c:v>
                </c:pt>
                <c:pt idx="7">
                  <c:v>27745</c:v>
                </c:pt>
              </c:numCache>
            </c:numRef>
          </c:val>
          <c:extLst xmlns:c16r2="http://schemas.microsoft.com/office/drawing/2015/06/chart">
            <c:ext xmlns:c16="http://schemas.microsoft.com/office/drawing/2014/chart" uri="{C3380CC4-5D6E-409C-BE32-E72D297353CC}">
              <c16:uniqueId val="{00000000-22AB-4EFC-9815-917D4FC4DF5A}"/>
            </c:ext>
          </c:extLst>
        </c:ser>
        <c:ser>
          <c:idx val="1"/>
          <c:order val="1"/>
          <c:tx>
            <c:strRef>
              <c:f>'Calc de Taxa crescimento ano '!$AL$6</c:f>
              <c:strCache>
                <c:ptCount val="1"/>
                <c:pt idx="0">
                  <c:v>urbana</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'!$AJ$7:$AJ$14</c:f>
              <c:numCache>
                <c:formatCode>General</c:formatCode>
                <c:ptCount val="8"/>
                <c:pt idx="0">
                  <c:v>1940</c:v>
                </c:pt>
                <c:pt idx="1">
                  <c:v>1950</c:v>
                </c:pt>
                <c:pt idx="2">
                  <c:v>1960</c:v>
                </c:pt>
                <c:pt idx="3">
                  <c:v>1970</c:v>
                </c:pt>
                <c:pt idx="4">
                  <c:v>1980</c:v>
                </c:pt>
                <c:pt idx="5">
                  <c:v>1991</c:v>
                </c:pt>
                <c:pt idx="6">
                  <c:v>2000</c:v>
                </c:pt>
                <c:pt idx="7">
                  <c:v>2010</c:v>
                </c:pt>
              </c:numCache>
            </c:numRef>
          </c:cat>
          <c:val>
            <c:numRef>
              <c:f>'Calc de Taxa crescimento ano '!$AL$7:$AL$14</c:f>
              <c:numCache>
                <c:formatCode>#,##0</c:formatCode>
                <c:ptCount val="8"/>
                <c:pt idx="0">
                  <c:v>2559</c:v>
                </c:pt>
                <c:pt idx="1">
                  <c:v>8105</c:v>
                </c:pt>
                <c:pt idx="2">
                  <c:v>6180</c:v>
                </c:pt>
                <c:pt idx="3">
                  <c:v>8522</c:v>
                </c:pt>
                <c:pt idx="4">
                  <c:v>12957</c:v>
                </c:pt>
                <c:pt idx="5">
                  <c:v>17782</c:v>
                </c:pt>
                <c:pt idx="6">
                  <c:v>22311</c:v>
                </c:pt>
                <c:pt idx="7">
                  <c:v>25551</c:v>
                </c:pt>
              </c:numCache>
            </c:numRef>
          </c:val>
          <c:extLst xmlns:c16r2="http://schemas.microsoft.com/office/drawing/2015/06/chart">
            <c:ext xmlns:c16="http://schemas.microsoft.com/office/drawing/2014/chart" uri="{C3380CC4-5D6E-409C-BE32-E72D297353CC}">
              <c16:uniqueId val="{00000001-22AB-4EFC-9815-917D4FC4DF5A}"/>
            </c:ext>
          </c:extLst>
        </c:ser>
        <c:ser>
          <c:idx val="2"/>
          <c:order val="2"/>
          <c:tx>
            <c:strRef>
              <c:f>'Calc de Taxa crescimento ano '!$AM$6</c:f>
              <c:strCache>
                <c:ptCount val="1"/>
                <c:pt idx="0">
                  <c:v>rural </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'!$AJ$7:$AJ$14</c:f>
              <c:numCache>
                <c:formatCode>General</c:formatCode>
                <c:ptCount val="8"/>
                <c:pt idx="0">
                  <c:v>1940</c:v>
                </c:pt>
                <c:pt idx="1">
                  <c:v>1950</c:v>
                </c:pt>
                <c:pt idx="2">
                  <c:v>1960</c:v>
                </c:pt>
                <c:pt idx="3">
                  <c:v>1970</c:v>
                </c:pt>
                <c:pt idx="4">
                  <c:v>1980</c:v>
                </c:pt>
                <c:pt idx="5">
                  <c:v>1991</c:v>
                </c:pt>
                <c:pt idx="6">
                  <c:v>2000</c:v>
                </c:pt>
                <c:pt idx="7">
                  <c:v>2010</c:v>
                </c:pt>
              </c:numCache>
            </c:numRef>
          </c:cat>
          <c:val>
            <c:numRef>
              <c:f>'Calc de Taxa crescimento ano '!$AM$7:$AM$14</c:f>
              <c:numCache>
                <c:formatCode>#,##0</c:formatCode>
                <c:ptCount val="8"/>
                <c:pt idx="0">
                  <c:v>11624</c:v>
                </c:pt>
                <c:pt idx="1">
                  <c:v>9412</c:v>
                </c:pt>
                <c:pt idx="2">
                  <c:v>10306</c:v>
                </c:pt>
                <c:pt idx="3">
                  <c:v>3616</c:v>
                </c:pt>
                <c:pt idx="4">
                  <c:v>3259</c:v>
                </c:pt>
                <c:pt idx="5">
                  <c:v>3045</c:v>
                </c:pt>
                <c:pt idx="6">
                  <c:v>2447</c:v>
                </c:pt>
                <c:pt idx="7">
                  <c:v>2194</c:v>
                </c:pt>
              </c:numCache>
            </c:numRef>
          </c:val>
          <c:extLst xmlns:c16r2="http://schemas.microsoft.com/office/drawing/2015/06/chart">
            <c:ext xmlns:c16="http://schemas.microsoft.com/office/drawing/2014/chart" uri="{C3380CC4-5D6E-409C-BE32-E72D297353CC}">
              <c16:uniqueId val="{00000002-22AB-4EFC-9815-917D4FC4DF5A}"/>
            </c:ext>
          </c:extLst>
        </c:ser>
        <c:dLbls>
          <c:showLegendKey val="0"/>
          <c:showVal val="0"/>
          <c:showCatName val="0"/>
          <c:showSerName val="0"/>
          <c:showPercent val="0"/>
          <c:showBubbleSize val="0"/>
        </c:dLbls>
        <c:gapWidth val="100"/>
        <c:overlap val="-24"/>
        <c:axId val="434868272"/>
        <c:axId val="434868664"/>
      </c:barChart>
      <c:catAx>
        <c:axId val="4348682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34868664"/>
        <c:crosses val="autoZero"/>
        <c:auto val="1"/>
        <c:lblAlgn val="ctr"/>
        <c:lblOffset val="100"/>
        <c:noMultiLvlLbl val="0"/>
      </c:catAx>
      <c:valAx>
        <c:axId val="43486866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3486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34995012663698"/>
          <c:y val="4.0182648401826483E-2"/>
          <c:w val="0.77320848904394834"/>
          <c:h val="0.88014007838061337"/>
        </c:manualLayout>
      </c:layout>
      <c:line3DChart>
        <c:grouping val="standard"/>
        <c:varyColors val="0"/>
        <c:ser>
          <c:idx val="0"/>
          <c:order val="0"/>
          <c:tx>
            <c:strRef>
              <c:f>'Calc de Taxa crescimento ano '!$AQ$6</c:f>
              <c:strCache>
                <c:ptCount val="1"/>
                <c:pt idx="0">
                  <c:v>Tx. Urban.</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numRef>
              <c:f>'Calc de Taxa crescimento ano '!$AJ$7:$AJ$14</c:f>
              <c:numCache>
                <c:formatCode>General</c:formatCode>
                <c:ptCount val="8"/>
                <c:pt idx="0">
                  <c:v>1940</c:v>
                </c:pt>
                <c:pt idx="1">
                  <c:v>1950</c:v>
                </c:pt>
                <c:pt idx="2">
                  <c:v>1960</c:v>
                </c:pt>
                <c:pt idx="3">
                  <c:v>1970</c:v>
                </c:pt>
                <c:pt idx="4">
                  <c:v>1980</c:v>
                </c:pt>
                <c:pt idx="5">
                  <c:v>1991</c:v>
                </c:pt>
                <c:pt idx="6">
                  <c:v>2000</c:v>
                </c:pt>
                <c:pt idx="7">
                  <c:v>2010</c:v>
                </c:pt>
              </c:numCache>
            </c:numRef>
          </c:cat>
          <c:val>
            <c:numRef>
              <c:f>'Calc de Taxa crescimento ano '!$AQ$7:$AQ$14</c:f>
              <c:numCache>
                <c:formatCode>0.00%</c:formatCode>
                <c:ptCount val="8"/>
                <c:pt idx="0">
                  <c:v>0.18042727208630049</c:v>
                </c:pt>
                <c:pt idx="1">
                  <c:v>0.46269338357024603</c:v>
                </c:pt>
                <c:pt idx="2">
                  <c:v>0.37486352056290184</c:v>
                </c:pt>
                <c:pt idx="3">
                  <c:v>0.70209260174658095</c:v>
                </c:pt>
                <c:pt idx="4">
                  <c:v>0.79902565367538236</c:v>
                </c:pt>
                <c:pt idx="5">
                  <c:v>0.85379555384836991</c:v>
                </c:pt>
                <c:pt idx="6">
                  <c:v>0.9011632603602876</c:v>
                </c:pt>
                <c:pt idx="7">
                  <c:v>0.92092268877275185</c:v>
                </c:pt>
              </c:numCache>
            </c:numRef>
          </c:val>
          <c:smooth val="0"/>
          <c:extLst xmlns:c16r2="http://schemas.microsoft.com/office/drawing/2015/06/chart">
            <c:ext xmlns:c16="http://schemas.microsoft.com/office/drawing/2014/chart" uri="{C3380CC4-5D6E-409C-BE32-E72D297353CC}">
              <c16:uniqueId val="{00000000-8D74-4A3A-B880-A491160994AD}"/>
            </c:ext>
          </c:extLst>
        </c:ser>
        <c:dLbls>
          <c:showLegendKey val="0"/>
          <c:showVal val="0"/>
          <c:showCatName val="0"/>
          <c:showSerName val="0"/>
          <c:showPercent val="0"/>
          <c:showBubbleSize val="0"/>
        </c:dLbls>
        <c:gapDepth val="136"/>
        <c:axId val="498919200"/>
        <c:axId val="498921552"/>
        <c:axId val="495423904"/>
      </c:line3DChart>
      <c:catAx>
        <c:axId val="498919200"/>
        <c:scaling>
          <c:orientation val="minMax"/>
        </c:scaling>
        <c:delete val="0"/>
        <c:axPos val="b"/>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pt-BR"/>
          </a:p>
        </c:txPr>
        <c:crossAx val="498921552"/>
        <c:crosses val="autoZero"/>
        <c:auto val="1"/>
        <c:lblAlgn val="ctr"/>
        <c:lblOffset val="100"/>
        <c:noMultiLvlLbl val="0"/>
      </c:catAx>
      <c:valAx>
        <c:axId val="498921552"/>
        <c:scaling>
          <c:orientation val="minMax"/>
        </c:scaling>
        <c:delete val="0"/>
        <c:axPos val="l"/>
        <c:majorGridlines>
          <c:spPr>
            <a:ln w="9525" cap="flat" cmpd="sng" algn="ctr">
              <a:solidFill>
                <a:schemeClr val="dk1">
                  <a:lumMod val="50000"/>
                  <a:lumOff val="5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pt-BR"/>
          </a:p>
        </c:txPr>
        <c:crossAx val="498919200"/>
        <c:crosses val="autoZero"/>
        <c:crossBetween val="between"/>
      </c:valAx>
      <c:serAx>
        <c:axId val="495423904"/>
        <c:scaling>
          <c:orientation val="minMax"/>
        </c:scaling>
        <c:delete val="0"/>
        <c:axPos val="b"/>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pt-BR"/>
          </a:p>
        </c:txPr>
        <c:crossAx val="498921552"/>
        <c:crosses val="autoZero"/>
      </c:ser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Setor Primário</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'!$A$23:$A$28</c:f>
              <c:numCache>
                <c:formatCode>General</c:formatCode>
                <c:ptCount val="6"/>
                <c:pt idx="0">
                  <c:v>1960</c:v>
                </c:pt>
                <c:pt idx="1">
                  <c:v>1970</c:v>
                </c:pt>
                <c:pt idx="2">
                  <c:v>1980</c:v>
                </c:pt>
                <c:pt idx="3">
                  <c:v>1991</c:v>
                </c:pt>
                <c:pt idx="4">
                  <c:v>2000</c:v>
                </c:pt>
                <c:pt idx="5">
                  <c:v>2010</c:v>
                </c:pt>
              </c:numCache>
            </c:numRef>
          </c:cat>
          <c:val>
            <c:numRef>
              <c:f>'Calc de Taxa crescimento ano '!$B$23:$B$28</c:f>
              <c:numCache>
                <c:formatCode>#,##0</c:formatCode>
                <c:ptCount val="6"/>
                <c:pt idx="0">
                  <c:v>3908</c:v>
                </c:pt>
                <c:pt idx="1">
                  <c:v>1578</c:v>
                </c:pt>
                <c:pt idx="2">
                  <c:v>1570</c:v>
                </c:pt>
                <c:pt idx="3">
                  <c:v>1494</c:v>
                </c:pt>
                <c:pt idx="4">
                  <c:v>1531</c:v>
                </c:pt>
                <c:pt idx="5">
                  <c:v>1115</c:v>
                </c:pt>
              </c:numCache>
            </c:numRef>
          </c:val>
          <c:shape val="cylinder"/>
          <c:extLst xmlns:c16r2="http://schemas.microsoft.com/office/drawing/2015/06/chart">
            <c:ext xmlns:c16="http://schemas.microsoft.com/office/drawing/2014/chart" uri="{C3380CC4-5D6E-409C-BE32-E72D297353CC}">
              <c16:uniqueId val="{00000000-BB9B-4717-9400-FF9511EB75D6}"/>
            </c:ext>
          </c:extLst>
        </c:ser>
        <c:ser>
          <c:idx val="1"/>
          <c:order val="1"/>
          <c:tx>
            <c:v>Setor Secundário</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'!$A$23:$A$28</c:f>
              <c:numCache>
                <c:formatCode>General</c:formatCode>
                <c:ptCount val="6"/>
                <c:pt idx="0">
                  <c:v>1960</c:v>
                </c:pt>
                <c:pt idx="1">
                  <c:v>1970</c:v>
                </c:pt>
                <c:pt idx="2">
                  <c:v>1980</c:v>
                </c:pt>
                <c:pt idx="3">
                  <c:v>1991</c:v>
                </c:pt>
                <c:pt idx="4">
                  <c:v>2000</c:v>
                </c:pt>
                <c:pt idx="5">
                  <c:v>2010</c:v>
                </c:pt>
              </c:numCache>
            </c:numRef>
          </c:cat>
          <c:val>
            <c:numRef>
              <c:f>'Calc de Taxa crescimento ano '!$C$23:$C$28</c:f>
              <c:numCache>
                <c:formatCode>General</c:formatCode>
                <c:ptCount val="6"/>
                <c:pt idx="0">
                  <c:v>164</c:v>
                </c:pt>
                <c:pt idx="1">
                  <c:v>198</c:v>
                </c:pt>
                <c:pt idx="2">
                  <c:v>774</c:v>
                </c:pt>
                <c:pt idx="3">
                  <c:v>904</c:v>
                </c:pt>
                <c:pt idx="4" formatCode="#,##0">
                  <c:v>1236</c:v>
                </c:pt>
                <c:pt idx="5" formatCode="#,##0">
                  <c:v>1487</c:v>
                </c:pt>
              </c:numCache>
            </c:numRef>
          </c:val>
          <c:shape val="cylinder"/>
          <c:extLst xmlns:c16r2="http://schemas.microsoft.com/office/drawing/2015/06/chart">
            <c:ext xmlns:c16="http://schemas.microsoft.com/office/drawing/2014/chart" uri="{C3380CC4-5D6E-409C-BE32-E72D297353CC}">
              <c16:uniqueId val="{00000001-BB9B-4717-9400-FF9511EB75D6}"/>
            </c:ext>
          </c:extLst>
        </c:ser>
        <c:ser>
          <c:idx val="2"/>
          <c:order val="2"/>
          <c:tx>
            <c:v>Setor Terciário</c:v>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'Calc de Taxa crescimento ano '!$A$23:$A$28</c:f>
              <c:numCache>
                <c:formatCode>General</c:formatCode>
                <c:ptCount val="6"/>
                <c:pt idx="0">
                  <c:v>1960</c:v>
                </c:pt>
                <c:pt idx="1">
                  <c:v>1970</c:v>
                </c:pt>
                <c:pt idx="2">
                  <c:v>1980</c:v>
                </c:pt>
                <c:pt idx="3">
                  <c:v>1991</c:v>
                </c:pt>
                <c:pt idx="4">
                  <c:v>2000</c:v>
                </c:pt>
                <c:pt idx="5">
                  <c:v>2010</c:v>
                </c:pt>
              </c:numCache>
            </c:numRef>
          </c:cat>
          <c:val>
            <c:numRef>
              <c:f>'Calc de Taxa crescimento ano '!$D$23:$D$28</c:f>
              <c:numCache>
                <c:formatCode>#,##0</c:formatCode>
                <c:ptCount val="6"/>
                <c:pt idx="0" formatCode="General">
                  <c:v>542</c:v>
                </c:pt>
                <c:pt idx="1">
                  <c:v>1054</c:v>
                </c:pt>
                <c:pt idx="2">
                  <c:v>2832</c:v>
                </c:pt>
                <c:pt idx="3">
                  <c:v>5479</c:v>
                </c:pt>
                <c:pt idx="4">
                  <c:v>6677</c:v>
                </c:pt>
                <c:pt idx="5">
                  <c:v>8224</c:v>
                </c:pt>
              </c:numCache>
            </c:numRef>
          </c:val>
          <c:shape val="cylinder"/>
          <c:extLst xmlns:c16r2="http://schemas.microsoft.com/office/drawing/2015/06/chart">
            <c:ext xmlns:c16="http://schemas.microsoft.com/office/drawing/2014/chart" uri="{C3380CC4-5D6E-409C-BE32-E72D297353CC}">
              <c16:uniqueId val="{00000002-BB9B-4717-9400-FF9511EB75D6}"/>
            </c:ext>
          </c:extLst>
        </c:ser>
        <c:dLbls>
          <c:showLegendKey val="0"/>
          <c:showVal val="0"/>
          <c:showCatName val="0"/>
          <c:showSerName val="0"/>
          <c:showPercent val="0"/>
          <c:showBubbleSize val="0"/>
        </c:dLbls>
        <c:gapWidth val="150"/>
        <c:shape val="box"/>
        <c:axId val="498919592"/>
        <c:axId val="498921160"/>
        <c:axId val="341653840"/>
      </c:bar3DChart>
      <c:catAx>
        <c:axId val="4989195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98921160"/>
        <c:crosses val="autoZero"/>
        <c:auto val="1"/>
        <c:lblAlgn val="ctr"/>
        <c:lblOffset val="100"/>
        <c:noMultiLvlLbl val="0"/>
      </c:catAx>
      <c:valAx>
        <c:axId val="498921160"/>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98919592"/>
        <c:crosses val="autoZero"/>
        <c:crossBetween val="between"/>
      </c:valAx>
      <c:serAx>
        <c:axId val="34165384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49892116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ADCBA-8A1C-40EE-8BCB-EB60195C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2612</Words>
  <Characters>14107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35</cp:revision>
  <dcterms:created xsi:type="dcterms:W3CDTF">2018-10-11T04:39:00Z</dcterms:created>
  <dcterms:modified xsi:type="dcterms:W3CDTF">2018-10-31T14:49:00Z</dcterms:modified>
</cp:coreProperties>
</file>