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CA3" w:rsidRPr="009E6E1E" w:rsidRDefault="00EA2CA3" w:rsidP="00EA2CA3">
      <w:pPr>
        <w:ind w:firstLine="0"/>
        <w:jc w:val="center"/>
        <w:rPr>
          <w:rFonts w:cs="Times New Roman"/>
          <w:b/>
          <w:szCs w:val="24"/>
        </w:rPr>
      </w:pPr>
      <w:r>
        <w:rPr>
          <w:rFonts w:cs="Times New Roman"/>
          <w:b/>
          <w:szCs w:val="24"/>
        </w:rPr>
        <w:t>ANÁ</w:t>
      </w:r>
      <w:r w:rsidRPr="009E6E1E">
        <w:rPr>
          <w:rFonts w:cs="Times New Roman"/>
          <w:b/>
          <w:szCs w:val="24"/>
        </w:rPr>
        <w:t>L</w:t>
      </w:r>
      <w:bookmarkStart w:id="0" w:name="_GoBack"/>
      <w:bookmarkEnd w:id="0"/>
      <w:r w:rsidRPr="009E6E1E">
        <w:rPr>
          <w:rFonts w:cs="Times New Roman"/>
          <w:b/>
          <w:szCs w:val="24"/>
        </w:rPr>
        <w:t xml:space="preserve">ISE DAS QUESTÕES DE QUÍMICA NO </w:t>
      </w:r>
      <w:r>
        <w:rPr>
          <w:rFonts w:cs="Times New Roman"/>
          <w:b/>
          <w:szCs w:val="24"/>
        </w:rPr>
        <w:t>ENEM DO Ú</w:t>
      </w:r>
      <w:r w:rsidRPr="009E6E1E">
        <w:rPr>
          <w:rFonts w:cs="Times New Roman"/>
          <w:b/>
          <w:szCs w:val="24"/>
        </w:rPr>
        <w:t>LTIMO TRIÊNIO (2015, 2016 E 2017), DE ACORDO COM O PCN-</w:t>
      </w:r>
      <w:proofErr w:type="gramStart"/>
      <w:r w:rsidRPr="009E6E1E">
        <w:rPr>
          <w:rFonts w:cs="Times New Roman"/>
          <w:b/>
          <w:szCs w:val="24"/>
        </w:rPr>
        <w:t>EM</w:t>
      </w:r>
      <w:proofErr w:type="gramEnd"/>
    </w:p>
    <w:p w:rsidR="00EA2CA3" w:rsidRDefault="00EA2CA3" w:rsidP="00EA2CA3"/>
    <w:p w:rsidR="00EA2CA3" w:rsidRDefault="00EA2CA3" w:rsidP="00EA2CA3">
      <w:pPr>
        <w:spacing w:line="240" w:lineRule="auto"/>
        <w:jc w:val="right"/>
      </w:pPr>
      <w:proofErr w:type="spellStart"/>
      <w:r>
        <w:t>Jocelia</w:t>
      </w:r>
      <w:proofErr w:type="spellEnd"/>
      <w:r>
        <w:t xml:space="preserve"> Silva Machado Rodrigues</w:t>
      </w:r>
    </w:p>
    <w:p w:rsidR="00EA2CA3" w:rsidRPr="00DE1B91" w:rsidRDefault="00EA2CA3" w:rsidP="00EA2CA3">
      <w:pPr>
        <w:spacing w:line="240" w:lineRule="auto"/>
        <w:ind w:firstLine="0"/>
        <w:jc w:val="right"/>
        <w:rPr>
          <w:rFonts w:eastAsia="Times New Roman" w:cs="Times New Roman"/>
          <w:color w:val="26282A"/>
          <w:sz w:val="22"/>
          <w:lang w:eastAsia="pt-BR"/>
        </w:rPr>
      </w:pPr>
      <w:r w:rsidRPr="00DE1B91">
        <w:rPr>
          <w:rFonts w:cs="Times New Roman"/>
          <w:sz w:val="22"/>
        </w:rPr>
        <w:t>Graduanda do Curso de Licenciatura em Química do I</w:t>
      </w:r>
      <w:r>
        <w:rPr>
          <w:rFonts w:cs="Times New Roman"/>
          <w:sz w:val="22"/>
        </w:rPr>
        <w:t>nstituto Federal de Educação, Ciência e Tecnologia do Ceará (I</w:t>
      </w:r>
      <w:r w:rsidRPr="00DE1B91">
        <w:rPr>
          <w:rFonts w:cs="Times New Roman"/>
          <w:sz w:val="22"/>
        </w:rPr>
        <w:t>FCE</w:t>
      </w:r>
      <w:r>
        <w:rPr>
          <w:rFonts w:cs="Times New Roman"/>
          <w:sz w:val="22"/>
        </w:rPr>
        <w:t xml:space="preserve">) – </w:t>
      </w:r>
      <w:r w:rsidRPr="00BB4ADB">
        <w:rPr>
          <w:rFonts w:cs="Times New Roman"/>
          <w:i/>
          <w:sz w:val="22"/>
        </w:rPr>
        <w:t>Campus</w:t>
      </w:r>
      <w:r>
        <w:rPr>
          <w:rFonts w:cs="Times New Roman"/>
          <w:sz w:val="22"/>
        </w:rPr>
        <w:t xml:space="preserve"> Iguatu</w:t>
      </w:r>
      <w:r w:rsidRPr="00DE1B91">
        <w:rPr>
          <w:rFonts w:cs="Times New Roman"/>
          <w:sz w:val="22"/>
        </w:rPr>
        <w:t xml:space="preserve">, </w:t>
      </w:r>
      <w:proofErr w:type="gramStart"/>
      <w:r w:rsidRPr="00DE1B91">
        <w:rPr>
          <w:rFonts w:eastAsia="Times New Roman" w:cs="Times New Roman"/>
          <w:color w:val="26282A"/>
          <w:sz w:val="22"/>
          <w:lang w:eastAsia="pt-BR"/>
        </w:rPr>
        <w:t>jocysmr@gmail.com</w:t>
      </w:r>
      <w:proofErr w:type="gramEnd"/>
    </w:p>
    <w:p w:rsidR="00EA2CA3" w:rsidRDefault="00EA2CA3" w:rsidP="00EA2CA3">
      <w:pPr>
        <w:spacing w:line="240" w:lineRule="auto"/>
        <w:jc w:val="right"/>
      </w:pPr>
    </w:p>
    <w:p w:rsidR="00EA2CA3" w:rsidRDefault="00EA2CA3" w:rsidP="00EA2CA3">
      <w:pPr>
        <w:spacing w:line="240" w:lineRule="auto"/>
        <w:jc w:val="right"/>
      </w:pPr>
      <w:proofErr w:type="spellStart"/>
      <w:r>
        <w:t>Tassio</w:t>
      </w:r>
      <w:proofErr w:type="spellEnd"/>
      <w:r>
        <w:t xml:space="preserve"> Lessa do Nascimento</w:t>
      </w:r>
    </w:p>
    <w:p w:rsidR="00EA2CA3" w:rsidRDefault="00EA2CA3" w:rsidP="00EA2CA3">
      <w:pPr>
        <w:spacing w:line="240" w:lineRule="auto"/>
        <w:jc w:val="right"/>
      </w:pPr>
      <w:r>
        <w:rPr>
          <w:rFonts w:cs="Times New Roman"/>
          <w:sz w:val="22"/>
        </w:rPr>
        <w:t xml:space="preserve">Mestre docente </w:t>
      </w:r>
      <w:r w:rsidRPr="00DE1B91">
        <w:rPr>
          <w:rFonts w:cs="Times New Roman"/>
          <w:sz w:val="22"/>
        </w:rPr>
        <w:t>do I</w:t>
      </w:r>
      <w:r>
        <w:rPr>
          <w:rFonts w:cs="Times New Roman"/>
          <w:sz w:val="22"/>
        </w:rPr>
        <w:t>nstituto Federal de Educação, Ciência e Tecnologia do Rio Grande do Norte (I</w:t>
      </w:r>
      <w:r w:rsidRPr="00DE1B91">
        <w:rPr>
          <w:rFonts w:cs="Times New Roman"/>
          <w:sz w:val="22"/>
        </w:rPr>
        <w:t>F</w:t>
      </w:r>
      <w:r>
        <w:rPr>
          <w:rFonts w:cs="Times New Roman"/>
          <w:sz w:val="22"/>
        </w:rPr>
        <w:t xml:space="preserve">RN) </w:t>
      </w:r>
      <w:r w:rsidRPr="00BB4ADB">
        <w:rPr>
          <w:rFonts w:cs="Times New Roman"/>
          <w:i/>
          <w:sz w:val="22"/>
        </w:rPr>
        <w:t>- Campus</w:t>
      </w:r>
      <w:r>
        <w:rPr>
          <w:rFonts w:cs="Times New Roman"/>
          <w:sz w:val="22"/>
        </w:rPr>
        <w:t xml:space="preserve"> Apodi, </w:t>
      </w:r>
      <w:proofErr w:type="gramStart"/>
      <w:r>
        <w:t>tassio.lessa@ifrn.edu.br</w:t>
      </w:r>
      <w:proofErr w:type="gramEnd"/>
    </w:p>
    <w:p w:rsidR="00EA2CA3" w:rsidRDefault="00EA2CA3" w:rsidP="00EA2CA3">
      <w:pPr>
        <w:spacing w:line="240" w:lineRule="auto"/>
        <w:jc w:val="right"/>
      </w:pPr>
    </w:p>
    <w:p w:rsidR="00EA2CA3" w:rsidRDefault="00EA2CA3" w:rsidP="00EA2CA3">
      <w:pPr>
        <w:spacing w:line="240" w:lineRule="auto"/>
        <w:jc w:val="right"/>
      </w:pPr>
      <w:r>
        <w:t xml:space="preserve"> </w:t>
      </w:r>
      <w:proofErr w:type="spellStart"/>
      <w:r>
        <w:t>Thays</w:t>
      </w:r>
      <w:proofErr w:type="spellEnd"/>
      <w:r>
        <w:t xml:space="preserve"> Nogueira Rocha </w:t>
      </w:r>
    </w:p>
    <w:p w:rsidR="00EA2CA3" w:rsidRDefault="00EA2CA3" w:rsidP="00EA2CA3">
      <w:pPr>
        <w:spacing w:line="240" w:lineRule="auto"/>
        <w:jc w:val="right"/>
      </w:pPr>
      <w:r>
        <w:rPr>
          <w:rFonts w:cs="Times New Roman"/>
          <w:sz w:val="22"/>
        </w:rPr>
        <w:t xml:space="preserve">Mestre docente </w:t>
      </w:r>
      <w:r w:rsidRPr="00DE1B91">
        <w:rPr>
          <w:rFonts w:cs="Times New Roman"/>
          <w:sz w:val="22"/>
        </w:rPr>
        <w:t>do I</w:t>
      </w:r>
      <w:r>
        <w:rPr>
          <w:rFonts w:cs="Times New Roman"/>
          <w:sz w:val="22"/>
        </w:rPr>
        <w:t>nstituto Federal de Educação, Ciência e Tecnologia do Ceará (I</w:t>
      </w:r>
      <w:r w:rsidRPr="00DE1B91">
        <w:rPr>
          <w:rFonts w:cs="Times New Roman"/>
          <w:sz w:val="22"/>
        </w:rPr>
        <w:t>F</w:t>
      </w:r>
      <w:r>
        <w:rPr>
          <w:rFonts w:cs="Times New Roman"/>
          <w:sz w:val="22"/>
        </w:rPr>
        <w:t xml:space="preserve">CE) </w:t>
      </w:r>
      <w:r w:rsidRPr="00BB4ADB">
        <w:rPr>
          <w:rFonts w:cs="Times New Roman"/>
          <w:i/>
          <w:sz w:val="22"/>
        </w:rPr>
        <w:t>- Campus</w:t>
      </w:r>
      <w:r>
        <w:rPr>
          <w:rFonts w:cs="Times New Roman"/>
          <w:sz w:val="22"/>
        </w:rPr>
        <w:t xml:space="preserve"> Iguatu, </w:t>
      </w:r>
      <w:proofErr w:type="gramStart"/>
      <w:r w:rsidRPr="00391D4A">
        <w:rPr>
          <w:rFonts w:cs="Times New Roman"/>
          <w:sz w:val="22"/>
        </w:rPr>
        <w:t>thays.rocha@ifce.edu.br</w:t>
      </w:r>
      <w:proofErr w:type="gramEnd"/>
    </w:p>
    <w:p w:rsidR="00EA2CA3" w:rsidRDefault="00EA2CA3" w:rsidP="00EA2CA3">
      <w:pPr>
        <w:jc w:val="right"/>
      </w:pPr>
    </w:p>
    <w:p w:rsidR="00EA2CA3" w:rsidRDefault="00EA2CA3" w:rsidP="00EA2CA3">
      <w:pPr>
        <w:spacing w:line="240" w:lineRule="auto"/>
        <w:jc w:val="right"/>
      </w:pPr>
    </w:p>
    <w:p w:rsidR="00EA2CA3" w:rsidRDefault="00EA2CA3" w:rsidP="00EA2CA3"/>
    <w:p w:rsidR="00EA2CA3" w:rsidRDefault="00EA2CA3" w:rsidP="00EA2CA3">
      <w:pPr>
        <w:ind w:firstLine="0"/>
      </w:pPr>
      <w:r>
        <w:t>RESUMO</w:t>
      </w:r>
    </w:p>
    <w:p w:rsidR="00EA2CA3" w:rsidRPr="00ED3A87" w:rsidRDefault="00EA2CA3" w:rsidP="00EA2CA3">
      <w:pPr>
        <w:spacing w:line="240" w:lineRule="auto"/>
        <w:ind w:firstLine="0"/>
        <w:rPr>
          <w:rFonts w:cs="Times New Roman"/>
          <w:color w:val="000000" w:themeColor="text1"/>
          <w:sz w:val="22"/>
        </w:rPr>
      </w:pPr>
      <w:r w:rsidRPr="00ED3A87">
        <w:rPr>
          <w:rFonts w:cs="Times New Roman"/>
          <w:sz w:val="22"/>
        </w:rPr>
        <w:t xml:space="preserve">Criado pelo Ministério da Educação (MEC), através do Instituto Nacional de Estudos e Pesquisas Educacionais Anísio Teixeira (INEP), o </w:t>
      </w:r>
      <w:r>
        <w:rPr>
          <w:rFonts w:cs="Times New Roman"/>
          <w:sz w:val="22"/>
        </w:rPr>
        <w:t>Exame Nacional do Ensino Médio (</w:t>
      </w:r>
      <w:r w:rsidRPr="00ED3A87">
        <w:rPr>
          <w:rFonts w:cs="Times New Roman"/>
          <w:sz w:val="22"/>
        </w:rPr>
        <w:t>ENEM</w:t>
      </w:r>
      <w:r>
        <w:rPr>
          <w:rFonts w:cs="Times New Roman"/>
          <w:sz w:val="22"/>
        </w:rPr>
        <w:t>)</w:t>
      </w:r>
      <w:r w:rsidRPr="00ED3A87">
        <w:rPr>
          <w:rFonts w:cs="Times New Roman"/>
          <w:sz w:val="22"/>
        </w:rPr>
        <w:t xml:space="preserve"> existe desde 1998 como uma forma de avaliação da educação básica e desde o ano de 2009 também tem sido usado como forma de acesso ao ensino superior. Considerando a importância desse exame, o presente trabalho </w:t>
      </w:r>
      <w:r>
        <w:rPr>
          <w:rFonts w:cs="Times New Roman"/>
          <w:sz w:val="22"/>
        </w:rPr>
        <w:t xml:space="preserve">teve como </w:t>
      </w:r>
      <w:r w:rsidRPr="00ED3A87">
        <w:rPr>
          <w:rFonts w:cs="Times New Roman"/>
          <w:sz w:val="22"/>
        </w:rPr>
        <w:t xml:space="preserve">objetivo analisar as questões de Química da prova dos últimos três anos, como forma de verificar se estas estão de acordo com a proposta da Matriz de Referência do ENEM e com os Parâmetros Curriculares Nacionais para o Ensino Médio (PCN-EM). Durante a análise das questões </w:t>
      </w:r>
      <w:r>
        <w:rPr>
          <w:rFonts w:cs="Times New Roman"/>
          <w:sz w:val="22"/>
        </w:rPr>
        <w:t>foi</w:t>
      </w:r>
      <w:r w:rsidRPr="00ED3A87">
        <w:rPr>
          <w:rFonts w:cs="Times New Roman"/>
          <w:sz w:val="22"/>
        </w:rPr>
        <w:t xml:space="preserve"> observ</w:t>
      </w:r>
      <w:r>
        <w:rPr>
          <w:rFonts w:cs="Times New Roman"/>
          <w:sz w:val="22"/>
        </w:rPr>
        <w:t>ado</w:t>
      </w:r>
      <w:r w:rsidRPr="00ED3A87">
        <w:rPr>
          <w:rFonts w:cs="Times New Roman"/>
          <w:sz w:val="22"/>
        </w:rPr>
        <w:t xml:space="preserve"> que </w:t>
      </w:r>
      <w:r w:rsidRPr="00ED3A87">
        <w:rPr>
          <w:rFonts w:cs="Times New Roman"/>
          <w:color w:val="000000" w:themeColor="text1"/>
          <w:sz w:val="22"/>
        </w:rPr>
        <w:t>66,67% das Competências, 43,48% das Habilidades e 60,</w:t>
      </w:r>
      <w:r>
        <w:rPr>
          <w:rFonts w:cs="Times New Roman"/>
          <w:color w:val="000000" w:themeColor="text1"/>
          <w:sz w:val="22"/>
        </w:rPr>
        <w:t>0% das temáticas</w:t>
      </w:r>
      <w:r w:rsidRPr="00ED3A87">
        <w:rPr>
          <w:rFonts w:cs="Times New Roman"/>
          <w:color w:val="000000" w:themeColor="text1"/>
          <w:sz w:val="22"/>
        </w:rPr>
        <w:t xml:space="preserve"> propostas pelos PCNEM e pela Matriz de Referência do ENEM apareceram nas questões dos últimos três anos</w:t>
      </w:r>
      <w:r>
        <w:rPr>
          <w:rFonts w:cs="Times New Roman"/>
          <w:color w:val="000000" w:themeColor="text1"/>
          <w:sz w:val="22"/>
        </w:rPr>
        <w:t>.</w:t>
      </w:r>
      <w:r w:rsidRPr="00ED3A87">
        <w:rPr>
          <w:rFonts w:cs="Times New Roman"/>
          <w:color w:val="000000" w:themeColor="text1"/>
          <w:sz w:val="22"/>
        </w:rPr>
        <w:t xml:space="preserve"> </w:t>
      </w:r>
      <w:r>
        <w:rPr>
          <w:rFonts w:cs="Times New Roman"/>
          <w:color w:val="000000" w:themeColor="text1"/>
          <w:sz w:val="22"/>
        </w:rPr>
        <w:t>O</w:t>
      </w:r>
      <w:r w:rsidRPr="00ED3A87">
        <w:rPr>
          <w:rFonts w:cs="Times New Roman"/>
          <w:color w:val="000000" w:themeColor="text1"/>
          <w:sz w:val="22"/>
        </w:rPr>
        <w:t>bservou-se ainda um aumento significativo das questões sem interdi</w:t>
      </w:r>
      <w:r>
        <w:rPr>
          <w:rFonts w:cs="Times New Roman"/>
          <w:color w:val="000000" w:themeColor="text1"/>
          <w:sz w:val="22"/>
        </w:rPr>
        <w:t>s</w:t>
      </w:r>
      <w:r w:rsidRPr="00ED3A87">
        <w:rPr>
          <w:rFonts w:cs="Times New Roman"/>
          <w:color w:val="000000" w:themeColor="text1"/>
          <w:sz w:val="22"/>
        </w:rPr>
        <w:t xml:space="preserve">ciplinaridade no último ano de aplicação do exame. A partir desses dados </w:t>
      </w:r>
      <w:r>
        <w:rPr>
          <w:rFonts w:cs="Times New Roman"/>
          <w:color w:val="000000" w:themeColor="text1"/>
          <w:sz w:val="22"/>
        </w:rPr>
        <w:t>é possível</w:t>
      </w:r>
      <w:r w:rsidRPr="00ED3A87">
        <w:rPr>
          <w:rFonts w:cs="Times New Roman"/>
          <w:color w:val="000000" w:themeColor="text1"/>
          <w:sz w:val="22"/>
        </w:rPr>
        <w:t xml:space="preserve"> </w:t>
      </w:r>
      <w:r>
        <w:rPr>
          <w:rFonts w:cs="Times New Roman"/>
          <w:color w:val="000000" w:themeColor="text1"/>
          <w:sz w:val="22"/>
        </w:rPr>
        <w:t>afirmar que</w:t>
      </w:r>
      <w:r w:rsidRPr="00ED3A87">
        <w:rPr>
          <w:rFonts w:cs="Times New Roman"/>
          <w:color w:val="000000" w:themeColor="text1"/>
          <w:sz w:val="22"/>
        </w:rPr>
        <w:t xml:space="preserve"> há uma grande parte das competências, habilidades e temáticas que podem ser trabalhadas nas questões do ENEM.</w:t>
      </w:r>
    </w:p>
    <w:p w:rsidR="00EA2CA3" w:rsidRPr="00ED3A87" w:rsidRDefault="00EA2CA3" w:rsidP="00EA2CA3">
      <w:pPr>
        <w:spacing w:line="240" w:lineRule="auto"/>
        <w:ind w:firstLine="0"/>
        <w:rPr>
          <w:rFonts w:cs="Times New Roman"/>
          <w:sz w:val="22"/>
        </w:rPr>
      </w:pPr>
      <w:r w:rsidRPr="00ED3A87">
        <w:rPr>
          <w:rFonts w:cs="Times New Roman"/>
          <w:b/>
          <w:sz w:val="22"/>
        </w:rPr>
        <w:t xml:space="preserve">Palavras-chave: </w:t>
      </w:r>
      <w:r w:rsidRPr="00ED3A87">
        <w:rPr>
          <w:rFonts w:cs="Times New Roman"/>
          <w:sz w:val="22"/>
        </w:rPr>
        <w:t>ENEM, Competências, Habilidades, PCNEM, Química.</w:t>
      </w:r>
    </w:p>
    <w:p w:rsidR="00EA2CA3" w:rsidRPr="00027B70" w:rsidRDefault="00EA2CA3" w:rsidP="00EA2CA3"/>
    <w:p w:rsidR="00EA2CA3" w:rsidRDefault="00EA2CA3" w:rsidP="00EA2CA3">
      <w:pPr>
        <w:pStyle w:val="Ttulo1"/>
        <w:spacing w:line="360" w:lineRule="auto"/>
        <w:rPr>
          <w:rFonts w:ascii="Times New Roman" w:hAnsi="Times New Roman" w:cs="Times New Roman"/>
          <w:color w:val="auto"/>
          <w:sz w:val="24"/>
          <w:szCs w:val="24"/>
        </w:rPr>
      </w:pPr>
      <w:bookmarkStart w:id="1" w:name="_Toc510485265"/>
      <w:proofErr w:type="gramStart"/>
      <w:r>
        <w:rPr>
          <w:rFonts w:ascii="Times New Roman" w:hAnsi="Times New Roman" w:cs="Times New Roman"/>
          <w:color w:val="auto"/>
          <w:sz w:val="24"/>
          <w:szCs w:val="24"/>
        </w:rPr>
        <w:t>1</w:t>
      </w:r>
      <w:proofErr w:type="gramEnd"/>
      <w:r>
        <w:rPr>
          <w:rFonts w:ascii="Times New Roman" w:hAnsi="Times New Roman" w:cs="Times New Roman"/>
          <w:color w:val="auto"/>
          <w:sz w:val="24"/>
          <w:szCs w:val="24"/>
        </w:rPr>
        <w:t xml:space="preserve"> </w:t>
      </w:r>
      <w:r w:rsidRPr="00BA2E55">
        <w:rPr>
          <w:rFonts w:ascii="Times New Roman" w:hAnsi="Times New Roman" w:cs="Times New Roman"/>
          <w:color w:val="auto"/>
          <w:sz w:val="24"/>
          <w:szCs w:val="24"/>
        </w:rPr>
        <w:t>INTRODUÇÃO</w:t>
      </w:r>
      <w:bookmarkEnd w:id="1"/>
    </w:p>
    <w:p w:rsidR="00EA2CA3" w:rsidRDefault="00EA2CA3" w:rsidP="00EA2CA3">
      <w:pPr>
        <w:rPr>
          <w:rFonts w:cs="Times New Roman"/>
          <w:spacing w:val="-5"/>
          <w:szCs w:val="24"/>
          <w:shd w:val="clear" w:color="auto" w:fill="FFFFFF"/>
        </w:rPr>
      </w:pPr>
      <w:r w:rsidRPr="00B325E6">
        <w:rPr>
          <w:rFonts w:cs="Times New Roman"/>
          <w:szCs w:val="24"/>
        </w:rPr>
        <w:t xml:space="preserve">O </w:t>
      </w:r>
      <w:r>
        <w:rPr>
          <w:rFonts w:cs="Times New Roman"/>
          <w:szCs w:val="24"/>
        </w:rPr>
        <w:t xml:space="preserve">ENEM é um exame muito importante no que diz respeito </w:t>
      </w:r>
      <w:proofErr w:type="gramStart"/>
      <w:r>
        <w:rPr>
          <w:rFonts w:cs="Times New Roman"/>
          <w:szCs w:val="24"/>
        </w:rPr>
        <w:t>a</w:t>
      </w:r>
      <w:proofErr w:type="gramEnd"/>
      <w:r>
        <w:rPr>
          <w:rFonts w:cs="Times New Roman"/>
          <w:szCs w:val="24"/>
        </w:rPr>
        <w:t xml:space="preserve"> avaliação da educação básica no Brasil. Ele existe desde 1998, porém no ano de 2009 foi reformulado e começou a ser utilizado como uma forma de ingresso no Ensino Superior a priori pelas Universidades Federais</w:t>
      </w:r>
      <w:r w:rsidRPr="00B325E6">
        <w:rPr>
          <w:rFonts w:cs="Times New Roman"/>
          <w:szCs w:val="24"/>
        </w:rPr>
        <w:t xml:space="preserve"> (ELLERY, 2014)</w:t>
      </w:r>
      <w:r>
        <w:rPr>
          <w:rFonts w:cs="Times New Roman"/>
          <w:szCs w:val="24"/>
        </w:rPr>
        <w:t xml:space="preserve"> e depois ampliando para as Universidades Estaduais e Privadas (FERNANDES, 2016)</w:t>
      </w:r>
      <w:r w:rsidRPr="00B325E6">
        <w:rPr>
          <w:rFonts w:cs="Times New Roman"/>
          <w:szCs w:val="24"/>
        </w:rPr>
        <w:t>.</w:t>
      </w:r>
      <w:r>
        <w:rPr>
          <w:rFonts w:cs="Times New Roman"/>
          <w:szCs w:val="24"/>
        </w:rPr>
        <w:t xml:space="preserve"> Além disso, foram criados vários programas de ingresso no ensino superior, utilizando a nota deste exame, tais como: o </w:t>
      </w:r>
      <w:r w:rsidRPr="00823179">
        <w:rPr>
          <w:rFonts w:cs="Times New Roman"/>
          <w:szCs w:val="24"/>
        </w:rPr>
        <w:t>Sistema de Seleção Unificada (SISU)</w:t>
      </w:r>
      <w:r>
        <w:rPr>
          <w:rFonts w:cs="Times New Roman"/>
          <w:szCs w:val="24"/>
        </w:rPr>
        <w:t xml:space="preserve">, </w:t>
      </w:r>
      <w:r w:rsidRPr="00211EA8">
        <w:rPr>
          <w:rFonts w:cs="Times New Roman"/>
          <w:spacing w:val="-5"/>
          <w:szCs w:val="24"/>
          <w:shd w:val="clear" w:color="auto" w:fill="FFFFFF"/>
        </w:rPr>
        <w:t>o Programa Universidade para Todos (</w:t>
      </w:r>
      <w:proofErr w:type="spellStart"/>
      <w:proofErr w:type="gramStart"/>
      <w:r w:rsidRPr="00211EA8">
        <w:rPr>
          <w:rFonts w:cs="Times New Roman"/>
          <w:spacing w:val="-5"/>
          <w:szCs w:val="24"/>
          <w:shd w:val="clear" w:color="auto" w:fill="FFFFFF"/>
        </w:rPr>
        <w:t>ProUni</w:t>
      </w:r>
      <w:proofErr w:type="spellEnd"/>
      <w:proofErr w:type="gramEnd"/>
      <w:r w:rsidRPr="00211EA8">
        <w:rPr>
          <w:rFonts w:cs="Times New Roman"/>
          <w:spacing w:val="-5"/>
          <w:szCs w:val="24"/>
          <w:shd w:val="clear" w:color="auto" w:fill="FFFFFF"/>
        </w:rPr>
        <w:t>)</w:t>
      </w:r>
      <w:r w:rsidRPr="00211EA8">
        <w:rPr>
          <w:rFonts w:cs="Times New Roman"/>
          <w:szCs w:val="24"/>
        </w:rPr>
        <w:t xml:space="preserve"> e</w:t>
      </w:r>
      <w:r>
        <w:rPr>
          <w:rFonts w:cs="Times New Roman"/>
          <w:szCs w:val="24"/>
        </w:rPr>
        <w:t xml:space="preserve"> o </w:t>
      </w:r>
      <w:r w:rsidRPr="00211EA8">
        <w:rPr>
          <w:rFonts w:cs="Times New Roman"/>
          <w:spacing w:val="-5"/>
          <w:szCs w:val="24"/>
          <w:shd w:val="clear" w:color="auto" w:fill="FFFFFF"/>
        </w:rPr>
        <w:t>Fundo de Financiamento Estudantil (FIES)</w:t>
      </w:r>
      <w:r>
        <w:rPr>
          <w:rFonts w:cs="Times New Roman"/>
          <w:spacing w:val="-5"/>
          <w:szCs w:val="24"/>
          <w:shd w:val="clear" w:color="auto" w:fill="FFFFFF"/>
        </w:rPr>
        <w:t>.</w:t>
      </w:r>
    </w:p>
    <w:p w:rsidR="00EA2CA3" w:rsidRPr="00B325E6" w:rsidRDefault="00EA2CA3" w:rsidP="00EA2CA3">
      <w:pPr>
        <w:rPr>
          <w:rFonts w:cs="Times New Roman"/>
          <w:szCs w:val="24"/>
        </w:rPr>
      </w:pPr>
      <w:r>
        <w:rPr>
          <w:rFonts w:cs="Times New Roman"/>
          <w:szCs w:val="24"/>
        </w:rPr>
        <w:lastRenderedPageBreak/>
        <w:t xml:space="preserve">Além do ingresso no ensino superior, até o ano de 2016 era possível </w:t>
      </w:r>
      <w:proofErr w:type="gramStart"/>
      <w:r>
        <w:rPr>
          <w:rFonts w:cs="Times New Roman"/>
          <w:szCs w:val="24"/>
        </w:rPr>
        <w:t>a</w:t>
      </w:r>
      <w:proofErr w:type="gramEnd"/>
      <w:r>
        <w:rPr>
          <w:rFonts w:cs="Times New Roman"/>
          <w:szCs w:val="24"/>
        </w:rPr>
        <w:t xml:space="preserve"> aquisição do certificado de conclusão do Ensino Médio mediante um desempenho satisfatório no exame. Com isso, tornando-se</w:t>
      </w:r>
      <w:r w:rsidRPr="00B325E6">
        <w:rPr>
          <w:rFonts w:cs="Times New Roman"/>
          <w:szCs w:val="24"/>
        </w:rPr>
        <w:t xml:space="preserve"> mais que uma avaliação da </w:t>
      </w:r>
      <w:r>
        <w:rPr>
          <w:rFonts w:cs="Times New Roman"/>
          <w:szCs w:val="24"/>
        </w:rPr>
        <w:t>E</w:t>
      </w:r>
      <w:r w:rsidRPr="00B325E6">
        <w:rPr>
          <w:rFonts w:cs="Times New Roman"/>
          <w:szCs w:val="24"/>
        </w:rPr>
        <w:t xml:space="preserve">ducação </w:t>
      </w:r>
      <w:r>
        <w:rPr>
          <w:rFonts w:cs="Times New Roman"/>
          <w:szCs w:val="24"/>
        </w:rPr>
        <w:t>B</w:t>
      </w:r>
      <w:r w:rsidRPr="00B325E6">
        <w:rPr>
          <w:rFonts w:cs="Times New Roman"/>
          <w:szCs w:val="24"/>
        </w:rPr>
        <w:t xml:space="preserve">ásica, </w:t>
      </w:r>
      <w:r>
        <w:rPr>
          <w:rFonts w:cs="Times New Roman"/>
          <w:szCs w:val="24"/>
        </w:rPr>
        <w:t>gerando</w:t>
      </w:r>
      <w:r w:rsidRPr="00B325E6">
        <w:rPr>
          <w:rFonts w:cs="Times New Roman"/>
          <w:szCs w:val="24"/>
        </w:rPr>
        <w:t xml:space="preserve"> oportunidade para </w:t>
      </w:r>
      <w:r>
        <w:rPr>
          <w:rFonts w:cs="Times New Roman"/>
          <w:szCs w:val="24"/>
        </w:rPr>
        <w:t>prosseguimento de</w:t>
      </w:r>
      <w:r w:rsidRPr="00B325E6">
        <w:rPr>
          <w:rFonts w:cs="Times New Roman"/>
          <w:szCs w:val="24"/>
        </w:rPr>
        <w:t xml:space="preserve"> estudos.</w:t>
      </w:r>
    </w:p>
    <w:p w:rsidR="00EA2CA3" w:rsidRPr="00B325E6" w:rsidRDefault="00EA2CA3" w:rsidP="00EA2CA3">
      <w:pPr>
        <w:rPr>
          <w:rFonts w:cs="Times New Roman"/>
          <w:szCs w:val="24"/>
        </w:rPr>
      </w:pPr>
      <w:r>
        <w:rPr>
          <w:rFonts w:cs="Times New Roman"/>
          <w:szCs w:val="24"/>
        </w:rPr>
        <w:t>Este exame</w:t>
      </w:r>
      <w:r w:rsidRPr="00B325E6">
        <w:rPr>
          <w:rFonts w:cs="Times New Roman"/>
          <w:szCs w:val="24"/>
        </w:rPr>
        <w:t xml:space="preserve"> é realizad</w:t>
      </w:r>
      <w:r>
        <w:rPr>
          <w:rFonts w:cs="Times New Roman"/>
          <w:szCs w:val="24"/>
        </w:rPr>
        <w:t>o</w:t>
      </w:r>
      <w:r w:rsidRPr="00B325E6">
        <w:rPr>
          <w:rFonts w:cs="Times New Roman"/>
          <w:szCs w:val="24"/>
        </w:rPr>
        <w:t xml:space="preserve"> em dois dias e </w:t>
      </w:r>
      <w:proofErr w:type="gramStart"/>
      <w:r>
        <w:rPr>
          <w:rFonts w:cs="Times New Roman"/>
          <w:szCs w:val="24"/>
        </w:rPr>
        <w:t>consta</w:t>
      </w:r>
      <w:proofErr w:type="gramEnd"/>
      <w:r w:rsidRPr="00B325E6">
        <w:rPr>
          <w:rFonts w:cs="Times New Roman"/>
          <w:szCs w:val="24"/>
        </w:rPr>
        <w:t xml:space="preserve"> um total 180 questões de múltipla escolha, divididas </w:t>
      </w:r>
      <w:r>
        <w:rPr>
          <w:rFonts w:cs="Times New Roman"/>
          <w:szCs w:val="24"/>
        </w:rPr>
        <w:t>em áreas de conhecimento e uma</w:t>
      </w:r>
      <w:r w:rsidRPr="00B325E6">
        <w:rPr>
          <w:rFonts w:cs="Times New Roman"/>
          <w:szCs w:val="24"/>
        </w:rPr>
        <w:t xml:space="preserve"> redação. Essas questões são montadas a partir de uma Matriz de Referência, Competências e Habilidades para cada área de conhecimento e um conjunto de objetos de conhecimento associados a elas (ELLERY, 2014). </w:t>
      </w:r>
    </w:p>
    <w:p w:rsidR="00EA2CA3" w:rsidRDefault="00EA2CA3" w:rsidP="00EA2CA3">
      <w:pPr>
        <w:rPr>
          <w:rFonts w:cs="Times New Roman"/>
          <w:szCs w:val="24"/>
        </w:rPr>
      </w:pPr>
      <w:r>
        <w:rPr>
          <w:rFonts w:cs="Times New Roman"/>
          <w:szCs w:val="24"/>
        </w:rPr>
        <w:t>Diante da grande importância que o ENEM representa para os alunos do Ensino Médio, percebe-se a necessidade de conhecer a adequação entre as últimas edições do exame e as normas que estabelecem de Ciências da Natureza e suas Tecnologias, sobretudo no tocante ao Ensino de Química,</w:t>
      </w:r>
      <w:r w:rsidRPr="00F82EF5">
        <w:rPr>
          <w:rFonts w:cs="Times New Roman"/>
          <w:szCs w:val="24"/>
        </w:rPr>
        <w:t xml:space="preserve"> área que historicamente apresenta resultados de baixo rendimento na média nacional do exame (VALENTE </w:t>
      </w:r>
      <w:proofErr w:type="gramStart"/>
      <w:r w:rsidRPr="00F82EF5">
        <w:rPr>
          <w:rFonts w:cs="Times New Roman"/>
          <w:szCs w:val="24"/>
        </w:rPr>
        <w:t>et</w:t>
      </w:r>
      <w:proofErr w:type="gramEnd"/>
      <w:r w:rsidRPr="00F82EF5">
        <w:rPr>
          <w:rFonts w:cs="Times New Roman"/>
          <w:szCs w:val="24"/>
        </w:rPr>
        <w:t xml:space="preserve"> al., 2016</w:t>
      </w:r>
      <w:r>
        <w:rPr>
          <w:rFonts w:cs="Times New Roman"/>
          <w:szCs w:val="24"/>
        </w:rPr>
        <w:t>).</w:t>
      </w:r>
    </w:p>
    <w:p w:rsidR="00EA2CA3" w:rsidRDefault="00EA2CA3" w:rsidP="00EA2CA3">
      <w:pPr>
        <w:rPr>
          <w:rFonts w:cs="Times New Roman"/>
          <w:szCs w:val="24"/>
        </w:rPr>
      </w:pPr>
      <w:r>
        <w:rPr>
          <w:rFonts w:cs="Times New Roman"/>
          <w:szCs w:val="24"/>
        </w:rPr>
        <w:t xml:space="preserve">Dentre as 45 questões de ciências da natureza presentes no ENEM uma média de 15 são de Química, sendo que algumas questões são interdisciplinares e envolvem mais de uma disciplina em sua contextualização, bem como no conhecimento necessário para solucioná-la. </w:t>
      </w:r>
      <w:r w:rsidRPr="00B325E6">
        <w:rPr>
          <w:rFonts w:cs="Times New Roman"/>
          <w:szCs w:val="24"/>
        </w:rPr>
        <w:t>No que se refere à</w:t>
      </w:r>
      <w:r>
        <w:rPr>
          <w:rFonts w:cs="Times New Roman"/>
          <w:szCs w:val="24"/>
        </w:rPr>
        <w:t xml:space="preserve"> Q</w:t>
      </w:r>
      <w:r w:rsidRPr="00B325E6">
        <w:rPr>
          <w:rFonts w:cs="Times New Roman"/>
          <w:szCs w:val="24"/>
        </w:rPr>
        <w:t xml:space="preserve">uímica, há </w:t>
      </w:r>
      <w:proofErr w:type="gramStart"/>
      <w:r w:rsidRPr="00B325E6">
        <w:rPr>
          <w:rFonts w:cs="Times New Roman"/>
          <w:szCs w:val="24"/>
        </w:rPr>
        <w:t>5</w:t>
      </w:r>
      <w:proofErr w:type="gramEnd"/>
      <w:r w:rsidRPr="00B325E6">
        <w:rPr>
          <w:rFonts w:cs="Times New Roman"/>
          <w:szCs w:val="24"/>
        </w:rPr>
        <w:t xml:space="preserve"> competências e 19 habilidades, sendo que nos anos de 2009 a 2012 apenas 3 competências e 9 habi</w:t>
      </w:r>
      <w:r>
        <w:rPr>
          <w:rFonts w:cs="Times New Roman"/>
          <w:szCs w:val="24"/>
        </w:rPr>
        <w:t>lidades estiveram presentes no ENEM</w:t>
      </w:r>
      <w:r w:rsidRPr="00B325E6">
        <w:rPr>
          <w:rFonts w:cs="Times New Roman"/>
          <w:szCs w:val="24"/>
        </w:rPr>
        <w:t>, mostrando assim um</w:t>
      </w:r>
      <w:r>
        <w:rPr>
          <w:rFonts w:cs="Times New Roman"/>
          <w:szCs w:val="24"/>
        </w:rPr>
        <w:t>a</w:t>
      </w:r>
      <w:r w:rsidRPr="00B325E6">
        <w:rPr>
          <w:rFonts w:cs="Times New Roman"/>
          <w:szCs w:val="24"/>
        </w:rPr>
        <w:t xml:space="preserve"> desigualda</w:t>
      </w:r>
      <w:r>
        <w:rPr>
          <w:rFonts w:cs="Times New Roman"/>
          <w:szCs w:val="24"/>
        </w:rPr>
        <w:t>de de distribuição das mesmas (</w:t>
      </w:r>
      <w:r w:rsidRPr="00B325E6">
        <w:rPr>
          <w:rFonts w:cs="Times New Roman"/>
          <w:szCs w:val="24"/>
        </w:rPr>
        <w:t>ELLERY, 2014).</w:t>
      </w:r>
      <w:r>
        <w:rPr>
          <w:rFonts w:cs="Times New Roman"/>
          <w:szCs w:val="24"/>
        </w:rPr>
        <w:t xml:space="preserve"> </w:t>
      </w:r>
    </w:p>
    <w:p w:rsidR="00EA2CA3" w:rsidRDefault="00EA2CA3" w:rsidP="00EA2CA3">
      <w:pPr>
        <w:rPr>
          <w:rFonts w:cs="Times New Roman"/>
          <w:szCs w:val="24"/>
        </w:rPr>
      </w:pPr>
      <w:r>
        <w:rPr>
          <w:rFonts w:cs="Times New Roman"/>
          <w:szCs w:val="24"/>
        </w:rPr>
        <w:t>Desta forma, esse trabalho teve como objetivo realizar uma pesquisa documental</w:t>
      </w:r>
      <w:r w:rsidRPr="00B325E6">
        <w:rPr>
          <w:rFonts w:cs="Times New Roman"/>
          <w:szCs w:val="24"/>
        </w:rPr>
        <w:t xml:space="preserve"> </w:t>
      </w:r>
      <w:r>
        <w:rPr>
          <w:rFonts w:cs="Times New Roman"/>
          <w:szCs w:val="24"/>
        </w:rPr>
        <w:t>n</w:t>
      </w:r>
      <w:r w:rsidRPr="00B325E6">
        <w:rPr>
          <w:rFonts w:cs="Times New Roman"/>
          <w:szCs w:val="24"/>
        </w:rPr>
        <w:t xml:space="preserve">as questões de química no </w:t>
      </w:r>
      <w:r>
        <w:rPr>
          <w:rFonts w:cs="Times New Roman"/>
          <w:szCs w:val="24"/>
        </w:rPr>
        <w:t>ENEM do ú</w:t>
      </w:r>
      <w:r w:rsidRPr="00B325E6">
        <w:rPr>
          <w:rFonts w:cs="Times New Roman"/>
          <w:szCs w:val="24"/>
        </w:rPr>
        <w:t>ltimo triênio (2015, 2016 e 2017), de acordo c</w:t>
      </w:r>
      <w:r>
        <w:rPr>
          <w:rFonts w:cs="Times New Roman"/>
          <w:szCs w:val="24"/>
        </w:rPr>
        <w:t>om os PCN</w:t>
      </w:r>
      <w:r w:rsidRPr="00B325E6">
        <w:rPr>
          <w:rFonts w:cs="Times New Roman"/>
          <w:szCs w:val="24"/>
        </w:rPr>
        <w:t>EM, bem com</w:t>
      </w:r>
      <w:r>
        <w:rPr>
          <w:rFonts w:cs="Times New Roman"/>
          <w:szCs w:val="24"/>
        </w:rPr>
        <w:t xml:space="preserve">o identificar as competências, </w:t>
      </w:r>
      <w:r w:rsidRPr="00B325E6">
        <w:rPr>
          <w:rFonts w:cs="Times New Roman"/>
          <w:szCs w:val="24"/>
        </w:rPr>
        <w:t>habilidades</w:t>
      </w:r>
      <w:r>
        <w:rPr>
          <w:rFonts w:cs="Times New Roman"/>
          <w:szCs w:val="24"/>
        </w:rPr>
        <w:t>, temáticas e interdisciplinaridade</w:t>
      </w:r>
      <w:r w:rsidRPr="00B325E6">
        <w:rPr>
          <w:rFonts w:cs="Times New Roman"/>
          <w:szCs w:val="24"/>
        </w:rPr>
        <w:t xml:space="preserve"> que mais se fizeram presentem nas questões.</w:t>
      </w:r>
    </w:p>
    <w:p w:rsidR="00EA2CA3" w:rsidRDefault="00EA2CA3" w:rsidP="00EA2CA3">
      <w:pPr>
        <w:rPr>
          <w:rFonts w:cs="Times New Roman"/>
          <w:szCs w:val="24"/>
        </w:rPr>
      </w:pPr>
      <w:proofErr w:type="gramStart"/>
      <w:r>
        <w:rPr>
          <w:rFonts w:cs="Times New Roman"/>
          <w:szCs w:val="24"/>
        </w:rPr>
        <w:t>A amostra utilizada foram</w:t>
      </w:r>
      <w:proofErr w:type="gramEnd"/>
      <w:r>
        <w:rPr>
          <w:rFonts w:cs="Times New Roman"/>
          <w:szCs w:val="24"/>
        </w:rPr>
        <w:t xml:space="preserve"> às questões de Química do ENEM dos anos de 2015, 2016 e 2017 totalizando 45 questões, que serão analisadas com relação às competências e habilidades exigidas em cada questão, quanto à interdisciplinaridade presente, bem como o conteúdo objeto de conhecimento da temática envolvida na questão. Todas as questões foram retiradas do caderno de prova da cor azul referente a cada ano de aplicação da prova.</w:t>
      </w:r>
    </w:p>
    <w:p w:rsidR="00EA2CA3" w:rsidRDefault="00EA2CA3" w:rsidP="00EA2CA3">
      <w:pPr>
        <w:pStyle w:val="Ttulo1"/>
        <w:spacing w:after="240" w:line="360" w:lineRule="auto"/>
        <w:rPr>
          <w:rFonts w:ascii="Times New Roman" w:hAnsi="Times New Roman" w:cs="Times New Roman"/>
          <w:color w:val="auto"/>
          <w:sz w:val="24"/>
          <w:szCs w:val="24"/>
        </w:rPr>
      </w:pPr>
      <w:bookmarkStart w:id="2" w:name="_Toc510485275"/>
      <w:proofErr w:type="gramStart"/>
      <w:r>
        <w:rPr>
          <w:rFonts w:ascii="Times New Roman" w:hAnsi="Times New Roman" w:cs="Times New Roman"/>
          <w:color w:val="auto"/>
          <w:sz w:val="24"/>
          <w:szCs w:val="24"/>
        </w:rPr>
        <w:lastRenderedPageBreak/>
        <w:t>2</w:t>
      </w:r>
      <w:proofErr w:type="gramEnd"/>
      <w:r>
        <w:rPr>
          <w:rFonts w:ascii="Times New Roman" w:hAnsi="Times New Roman" w:cs="Times New Roman"/>
          <w:color w:val="auto"/>
          <w:sz w:val="24"/>
          <w:szCs w:val="24"/>
        </w:rPr>
        <w:t xml:space="preserve"> </w:t>
      </w:r>
      <w:r w:rsidRPr="000811A4">
        <w:rPr>
          <w:rFonts w:ascii="Times New Roman" w:hAnsi="Times New Roman" w:cs="Times New Roman"/>
          <w:color w:val="auto"/>
          <w:sz w:val="24"/>
          <w:szCs w:val="24"/>
        </w:rPr>
        <w:t>RESULTADOS E DISCUSSÃO</w:t>
      </w:r>
      <w:bookmarkEnd w:id="2"/>
      <w:r w:rsidRPr="000811A4">
        <w:rPr>
          <w:rFonts w:ascii="Times New Roman" w:hAnsi="Times New Roman" w:cs="Times New Roman"/>
          <w:color w:val="auto"/>
          <w:sz w:val="24"/>
          <w:szCs w:val="24"/>
        </w:rPr>
        <w:t xml:space="preserve"> </w:t>
      </w:r>
    </w:p>
    <w:p w:rsidR="00EA2CA3" w:rsidRDefault="00EA2CA3" w:rsidP="00EA2CA3">
      <w:pPr>
        <w:rPr>
          <w:rFonts w:cs="Times New Roman"/>
          <w:szCs w:val="24"/>
        </w:rPr>
      </w:pPr>
      <w:r>
        <w:rPr>
          <w:rFonts w:cs="Times New Roman"/>
          <w:szCs w:val="24"/>
        </w:rPr>
        <w:t xml:space="preserve">Analisando as competências e habilidades na Matriz de Referência do ENEM são apresentadas para a área de ciências da natureza </w:t>
      </w:r>
      <w:proofErr w:type="gramStart"/>
      <w:r>
        <w:rPr>
          <w:rFonts w:cs="Times New Roman"/>
          <w:szCs w:val="24"/>
        </w:rPr>
        <w:t>8</w:t>
      </w:r>
      <w:proofErr w:type="gramEnd"/>
      <w:r>
        <w:rPr>
          <w:rFonts w:cs="Times New Roman"/>
          <w:szCs w:val="24"/>
        </w:rPr>
        <w:t xml:space="preserve"> competências e 30 habilidades, que podem ser observadas no Quadro 01. Vale salientar que, a Competência </w:t>
      </w:r>
      <w:proofErr w:type="gramStart"/>
      <w:r>
        <w:rPr>
          <w:rFonts w:cs="Times New Roman"/>
          <w:szCs w:val="24"/>
        </w:rPr>
        <w:t>6</w:t>
      </w:r>
      <w:proofErr w:type="gramEnd"/>
      <w:r>
        <w:rPr>
          <w:rFonts w:cs="Times New Roman"/>
          <w:szCs w:val="24"/>
        </w:rPr>
        <w:t xml:space="preserve"> é exclusiva da Física e a Competência 8 exclusiva da Biologia.</w:t>
      </w:r>
    </w:p>
    <w:p w:rsidR="00EA2CA3" w:rsidRDefault="00EA2CA3" w:rsidP="00EA2CA3">
      <w:pPr>
        <w:spacing w:before="240" w:line="240" w:lineRule="auto"/>
        <w:ind w:firstLine="0"/>
        <w:rPr>
          <w:rFonts w:cs="Times New Roman"/>
          <w:szCs w:val="24"/>
        </w:rPr>
      </w:pPr>
      <w:r w:rsidRPr="000811A4">
        <w:rPr>
          <w:rFonts w:cs="Times New Roman"/>
          <w:b/>
          <w:szCs w:val="24"/>
        </w:rPr>
        <w:t>Quadro</w:t>
      </w:r>
      <w:r>
        <w:rPr>
          <w:rFonts w:cs="Times New Roman"/>
          <w:b/>
          <w:szCs w:val="24"/>
        </w:rPr>
        <w:t xml:space="preserve"> 0</w:t>
      </w:r>
      <w:r w:rsidRPr="000811A4">
        <w:rPr>
          <w:rFonts w:cs="Times New Roman"/>
          <w:b/>
          <w:szCs w:val="24"/>
        </w:rPr>
        <w:t>1</w:t>
      </w:r>
      <w:r>
        <w:rPr>
          <w:rFonts w:cs="Times New Roman"/>
          <w:szCs w:val="24"/>
        </w:rPr>
        <w:t>–Competências e Habilidades de acordo com a Matriz de referência do ENEM</w:t>
      </w:r>
    </w:p>
    <w:tbl>
      <w:tblPr>
        <w:tblStyle w:val="Tabelacomgrade"/>
        <w:tblpPr w:leftFromText="141" w:rightFromText="141" w:vertAnchor="text" w:horzAnchor="margin" w:tblpY="268"/>
        <w:tblW w:w="0" w:type="auto"/>
        <w:tblLook w:val="04A0" w:firstRow="1" w:lastRow="0" w:firstColumn="1" w:lastColumn="0" w:noHBand="0" w:noVBand="1"/>
      </w:tblPr>
      <w:tblGrid>
        <w:gridCol w:w="1697"/>
        <w:gridCol w:w="347"/>
        <w:gridCol w:w="840"/>
        <w:gridCol w:w="655"/>
        <w:gridCol w:w="766"/>
        <w:gridCol w:w="850"/>
        <w:gridCol w:w="695"/>
        <w:gridCol w:w="782"/>
        <w:gridCol w:w="379"/>
        <w:gridCol w:w="1709"/>
      </w:tblGrid>
      <w:tr w:rsidR="00EA2CA3" w:rsidRPr="003B7665" w:rsidTr="002F359E">
        <w:tc>
          <w:tcPr>
            <w:tcW w:w="8720" w:type="dxa"/>
            <w:gridSpan w:val="10"/>
          </w:tcPr>
          <w:p w:rsidR="00EA2CA3" w:rsidRPr="003B7665" w:rsidRDefault="00EA2CA3" w:rsidP="002F359E">
            <w:pPr>
              <w:rPr>
                <w:rFonts w:cs="Times New Roman"/>
                <w:b/>
                <w:i/>
                <w:szCs w:val="24"/>
              </w:rPr>
            </w:pPr>
            <w:r w:rsidRPr="003B7665">
              <w:rPr>
                <w:rFonts w:cs="Times New Roman"/>
                <w:i/>
                <w:szCs w:val="24"/>
              </w:rPr>
              <w:t>Competência de área 1 – Compreender as ciências naturais e as tecnologias a elas associadas como construções humanas, percebendo seus papéis nos processos de produção e no desenvolvimento econômico e social da humanidade.</w:t>
            </w:r>
          </w:p>
        </w:tc>
      </w:tr>
      <w:tr w:rsidR="00EA2CA3" w:rsidRPr="00BE629A" w:rsidTr="002F359E">
        <w:tc>
          <w:tcPr>
            <w:tcW w:w="2044" w:type="dxa"/>
            <w:gridSpan w:val="2"/>
          </w:tcPr>
          <w:p w:rsidR="00EA2CA3" w:rsidRPr="00BE629A" w:rsidRDefault="00EA2CA3" w:rsidP="002F359E">
            <w:pPr>
              <w:rPr>
                <w:rFonts w:cs="Times New Roman"/>
                <w:b/>
                <w:szCs w:val="24"/>
              </w:rPr>
            </w:pPr>
            <w:r w:rsidRPr="00BE629A">
              <w:rPr>
                <w:rFonts w:cs="Times New Roman"/>
                <w:szCs w:val="24"/>
              </w:rPr>
              <w:t>H1 – Reconhecer características ou propriedades de fenômenos ondulatórios ou oscilatórios, relacionando-os a seus usos em diferentes contextos.</w:t>
            </w:r>
          </w:p>
        </w:tc>
        <w:tc>
          <w:tcPr>
            <w:tcW w:w="2261" w:type="dxa"/>
            <w:gridSpan w:val="3"/>
          </w:tcPr>
          <w:p w:rsidR="00EA2CA3" w:rsidRPr="00BE629A" w:rsidRDefault="00EA2CA3" w:rsidP="002F359E">
            <w:pPr>
              <w:rPr>
                <w:rFonts w:cs="Times New Roman"/>
                <w:szCs w:val="24"/>
              </w:rPr>
            </w:pPr>
            <w:r w:rsidRPr="00BE629A">
              <w:rPr>
                <w:rFonts w:cs="Times New Roman"/>
                <w:szCs w:val="24"/>
              </w:rPr>
              <w:t>H2 – Associar a solução de problemas de comunicação, transporte, saúde ou outro, com o correspondente desenvolvimento científico e tecnológico.</w:t>
            </w:r>
          </w:p>
        </w:tc>
        <w:tc>
          <w:tcPr>
            <w:tcW w:w="2327" w:type="dxa"/>
            <w:gridSpan w:val="3"/>
          </w:tcPr>
          <w:p w:rsidR="00EA2CA3" w:rsidRPr="00BE629A" w:rsidRDefault="00EA2CA3" w:rsidP="002F359E">
            <w:pPr>
              <w:rPr>
                <w:rFonts w:cs="Times New Roman"/>
                <w:szCs w:val="24"/>
              </w:rPr>
            </w:pPr>
            <w:r w:rsidRPr="00BE629A">
              <w:rPr>
                <w:rFonts w:cs="Times New Roman"/>
                <w:szCs w:val="24"/>
              </w:rPr>
              <w:t>H3 – Confrontar interpretações científicas com interpretações baseadas no senso comum, ao longo do tempo ou em diferentes culturas.</w:t>
            </w:r>
          </w:p>
        </w:tc>
        <w:tc>
          <w:tcPr>
            <w:tcW w:w="2088" w:type="dxa"/>
            <w:gridSpan w:val="2"/>
          </w:tcPr>
          <w:p w:rsidR="00EA2CA3" w:rsidRPr="00BE629A" w:rsidRDefault="00EA2CA3" w:rsidP="002F359E">
            <w:pPr>
              <w:rPr>
                <w:rFonts w:cs="Times New Roman"/>
                <w:szCs w:val="24"/>
              </w:rPr>
            </w:pPr>
            <w:r w:rsidRPr="00BE629A">
              <w:rPr>
                <w:rFonts w:cs="Times New Roman"/>
                <w:szCs w:val="24"/>
              </w:rPr>
              <w:t>H4 – Avaliar propostas de intervenção no ambiente, considerando a qualidade da vida humana ou medidas de conservação, recuperação ou utilização sustentável da biodiversidade.</w:t>
            </w:r>
          </w:p>
        </w:tc>
      </w:tr>
      <w:tr w:rsidR="00EA2CA3" w:rsidRPr="003B7665" w:rsidTr="002F359E">
        <w:tc>
          <w:tcPr>
            <w:tcW w:w="8720" w:type="dxa"/>
            <w:gridSpan w:val="10"/>
          </w:tcPr>
          <w:p w:rsidR="00EA2CA3" w:rsidRPr="003B7665" w:rsidRDefault="00EA2CA3" w:rsidP="002F359E">
            <w:pPr>
              <w:rPr>
                <w:rFonts w:cs="Times New Roman"/>
                <w:b/>
                <w:i/>
                <w:szCs w:val="24"/>
              </w:rPr>
            </w:pPr>
            <w:r w:rsidRPr="003B7665">
              <w:rPr>
                <w:rFonts w:cs="Times New Roman"/>
                <w:i/>
                <w:szCs w:val="24"/>
              </w:rPr>
              <w:t>Competência de área 2 – Identificar a presença e aplicar as tecnologias associadas às ciências naturais em diferentes contextos.</w:t>
            </w:r>
          </w:p>
        </w:tc>
      </w:tr>
      <w:tr w:rsidR="00EA2CA3" w:rsidRPr="00BE629A" w:rsidTr="002F359E">
        <w:tc>
          <w:tcPr>
            <w:tcW w:w="2884" w:type="dxa"/>
            <w:gridSpan w:val="3"/>
          </w:tcPr>
          <w:p w:rsidR="00EA2CA3" w:rsidRPr="00BE629A" w:rsidRDefault="00EA2CA3" w:rsidP="002F359E">
            <w:pPr>
              <w:rPr>
                <w:rFonts w:cs="Times New Roman"/>
                <w:b/>
                <w:szCs w:val="24"/>
              </w:rPr>
            </w:pPr>
            <w:r w:rsidRPr="00BE629A">
              <w:rPr>
                <w:rFonts w:cs="Times New Roman"/>
                <w:szCs w:val="24"/>
              </w:rPr>
              <w:t>H5 – Dimensionar circuitos ou dispositivos elétricos de uso cotidiano.</w:t>
            </w:r>
          </w:p>
        </w:tc>
        <w:tc>
          <w:tcPr>
            <w:tcW w:w="2966" w:type="dxa"/>
            <w:gridSpan w:val="4"/>
          </w:tcPr>
          <w:p w:rsidR="00EA2CA3" w:rsidRPr="00BE629A" w:rsidRDefault="00EA2CA3" w:rsidP="002F359E">
            <w:pPr>
              <w:rPr>
                <w:rFonts w:cs="Times New Roman"/>
                <w:szCs w:val="24"/>
              </w:rPr>
            </w:pPr>
            <w:r w:rsidRPr="00BE629A">
              <w:rPr>
                <w:rFonts w:cs="Times New Roman"/>
                <w:szCs w:val="24"/>
              </w:rPr>
              <w:t>H6 – Relacionar informações para compreender manuais de instalação ou utilização de aparelhos, ou sistemas tecnológicos de uso comum.</w:t>
            </w:r>
          </w:p>
        </w:tc>
        <w:tc>
          <w:tcPr>
            <w:tcW w:w="2870" w:type="dxa"/>
            <w:gridSpan w:val="3"/>
          </w:tcPr>
          <w:p w:rsidR="00EA2CA3" w:rsidRPr="00BE629A" w:rsidRDefault="00EA2CA3" w:rsidP="002F359E">
            <w:pPr>
              <w:rPr>
                <w:rFonts w:cs="Times New Roman"/>
                <w:szCs w:val="24"/>
              </w:rPr>
            </w:pPr>
            <w:r w:rsidRPr="00BE629A">
              <w:rPr>
                <w:rFonts w:cs="Times New Roman"/>
                <w:szCs w:val="24"/>
              </w:rPr>
              <w:t>H7 – Selecionar testes de controle, parâmetros ou critérios para a comparação de materiais e produtos, tendo em vista a defesa do consumidor, a saúde do trabalhador ou a qualidade de vida.</w:t>
            </w:r>
          </w:p>
        </w:tc>
      </w:tr>
      <w:tr w:rsidR="00EA2CA3" w:rsidRPr="003B7665" w:rsidTr="002F359E">
        <w:tc>
          <w:tcPr>
            <w:tcW w:w="8720" w:type="dxa"/>
            <w:gridSpan w:val="10"/>
          </w:tcPr>
          <w:p w:rsidR="00EA2CA3" w:rsidRPr="003B7665" w:rsidRDefault="00EA2CA3" w:rsidP="002F359E">
            <w:pPr>
              <w:rPr>
                <w:rFonts w:cs="Times New Roman"/>
                <w:b/>
                <w:i/>
                <w:szCs w:val="24"/>
              </w:rPr>
            </w:pPr>
            <w:r w:rsidRPr="003B7665">
              <w:rPr>
                <w:rFonts w:cs="Times New Roman"/>
                <w:i/>
                <w:szCs w:val="24"/>
              </w:rPr>
              <w:t xml:space="preserve">Competência de área 3 – Associar intervenções que resultam em degradação ou conservação ambiental a processos produtivos e sociais e a instrumentos ou </w:t>
            </w:r>
            <w:proofErr w:type="gramStart"/>
            <w:r w:rsidRPr="003B7665">
              <w:rPr>
                <w:rFonts w:cs="Times New Roman"/>
                <w:i/>
                <w:szCs w:val="24"/>
              </w:rPr>
              <w:t>ações científico-tecnológicos</w:t>
            </w:r>
            <w:proofErr w:type="gramEnd"/>
            <w:r w:rsidRPr="003B7665">
              <w:rPr>
                <w:rFonts w:cs="Times New Roman"/>
                <w:i/>
                <w:szCs w:val="24"/>
              </w:rPr>
              <w:t>.</w:t>
            </w:r>
          </w:p>
        </w:tc>
      </w:tr>
      <w:tr w:rsidR="00EA2CA3" w:rsidRPr="00BE629A" w:rsidTr="002F359E">
        <w:tc>
          <w:tcPr>
            <w:tcW w:w="1697" w:type="dxa"/>
          </w:tcPr>
          <w:p w:rsidR="00EA2CA3" w:rsidRPr="00BE629A" w:rsidRDefault="00EA2CA3" w:rsidP="002F359E">
            <w:pPr>
              <w:rPr>
                <w:rFonts w:cs="Times New Roman"/>
                <w:b/>
                <w:szCs w:val="24"/>
              </w:rPr>
            </w:pPr>
            <w:r w:rsidRPr="00BE629A">
              <w:rPr>
                <w:rFonts w:cs="Times New Roman"/>
                <w:szCs w:val="24"/>
              </w:rPr>
              <w:t xml:space="preserve">H8 – Identificar etapas em processos de obtenção, transformação, utilização ou reciclagem de </w:t>
            </w:r>
            <w:r w:rsidRPr="00BE629A">
              <w:rPr>
                <w:rFonts w:cs="Times New Roman"/>
                <w:szCs w:val="24"/>
              </w:rPr>
              <w:lastRenderedPageBreak/>
              <w:t>recursos naturais, energéticos ou matérias-primas, considerando processos biológicos, químicos ou físicos neles envolvidos.</w:t>
            </w:r>
          </w:p>
        </w:tc>
        <w:tc>
          <w:tcPr>
            <w:tcW w:w="1842" w:type="dxa"/>
            <w:gridSpan w:val="3"/>
          </w:tcPr>
          <w:p w:rsidR="00EA2CA3" w:rsidRPr="00BE629A" w:rsidRDefault="00EA2CA3" w:rsidP="002F359E">
            <w:pPr>
              <w:rPr>
                <w:rFonts w:cs="Times New Roman"/>
                <w:szCs w:val="24"/>
              </w:rPr>
            </w:pPr>
            <w:r w:rsidRPr="00BE629A">
              <w:rPr>
                <w:rFonts w:cs="Times New Roman"/>
                <w:szCs w:val="24"/>
              </w:rPr>
              <w:lastRenderedPageBreak/>
              <w:t xml:space="preserve">H9 – Compreender a importância dos ciclos biogeoquímicos ou do fluxo energia para a vida, ou da ação </w:t>
            </w:r>
            <w:r w:rsidRPr="00BE629A">
              <w:rPr>
                <w:rFonts w:cs="Times New Roman"/>
                <w:szCs w:val="24"/>
              </w:rPr>
              <w:lastRenderedPageBreak/>
              <w:t>de agentes ou fenômenos que podem causar alterações nesses processos.</w:t>
            </w:r>
          </w:p>
        </w:tc>
        <w:tc>
          <w:tcPr>
            <w:tcW w:w="1616" w:type="dxa"/>
            <w:gridSpan w:val="2"/>
          </w:tcPr>
          <w:p w:rsidR="00EA2CA3" w:rsidRPr="00BE629A" w:rsidRDefault="00EA2CA3" w:rsidP="002F359E">
            <w:pPr>
              <w:rPr>
                <w:rFonts w:cs="Times New Roman"/>
                <w:szCs w:val="24"/>
              </w:rPr>
            </w:pPr>
            <w:r w:rsidRPr="00BE629A">
              <w:rPr>
                <w:rFonts w:cs="Times New Roman"/>
                <w:szCs w:val="24"/>
              </w:rPr>
              <w:lastRenderedPageBreak/>
              <w:t xml:space="preserve">H10 – Analisar perturbações ambientais, identificando fontes, transporte </w:t>
            </w:r>
            <w:proofErr w:type="gramStart"/>
            <w:r w:rsidRPr="00BE629A">
              <w:rPr>
                <w:rFonts w:cs="Times New Roman"/>
                <w:szCs w:val="24"/>
              </w:rPr>
              <w:t>e(</w:t>
            </w:r>
            <w:proofErr w:type="gramEnd"/>
            <w:r w:rsidRPr="00BE629A">
              <w:rPr>
                <w:rFonts w:cs="Times New Roman"/>
                <w:szCs w:val="24"/>
              </w:rPr>
              <w:t xml:space="preserve">ou) destino </w:t>
            </w:r>
            <w:r w:rsidRPr="00BE629A">
              <w:rPr>
                <w:rFonts w:cs="Times New Roman"/>
                <w:szCs w:val="24"/>
              </w:rPr>
              <w:lastRenderedPageBreak/>
              <w:t>dos poluentes ou prevendo efeitos em sistemas naturais, produtivos ou sociais.</w:t>
            </w:r>
          </w:p>
        </w:tc>
        <w:tc>
          <w:tcPr>
            <w:tcW w:w="1856" w:type="dxa"/>
            <w:gridSpan w:val="3"/>
          </w:tcPr>
          <w:p w:rsidR="00EA2CA3" w:rsidRPr="00BE629A" w:rsidRDefault="00EA2CA3" w:rsidP="002F359E">
            <w:pPr>
              <w:rPr>
                <w:rFonts w:cs="Times New Roman"/>
                <w:szCs w:val="24"/>
              </w:rPr>
            </w:pPr>
            <w:r w:rsidRPr="00BE629A">
              <w:rPr>
                <w:rFonts w:cs="Times New Roman"/>
                <w:szCs w:val="24"/>
              </w:rPr>
              <w:lastRenderedPageBreak/>
              <w:t xml:space="preserve">H11 – Reconhecer benefícios, limitações e aspectos éticos da biotecnologia, considerando </w:t>
            </w:r>
            <w:r w:rsidRPr="00BE629A">
              <w:rPr>
                <w:rFonts w:cs="Times New Roman"/>
                <w:szCs w:val="24"/>
              </w:rPr>
              <w:lastRenderedPageBreak/>
              <w:t>estruturas e processos biológicos envolvidos em produtos biotecnológicos.</w:t>
            </w:r>
          </w:p>
        </w:tc>
        <w:tc>
          <w:tcPr>
            <w:tcW w:w="1709" w:type="dxa"/>
          </w:tcPr>
          <w:p w:rsidR="00EA2CA3" w:rsidRPr="00BE629A" w:rsidRDefault="00EA2CA3" w:rsidP="002F359E">
            <w:pPr>
              <w:rPr>
                <w:rFonts w:cs="Times New Roman"/>
                <w:szCs w:val="24"/>
              </w:rPr>
            </w:pPr>
            <w:r w:rsidRPr="00BE629A">
              <w:rPr>
                <w:rFonts w:cs="Times New Roman"/>
                <w:szCs w:val="24"/>
              </w:rPr>
              <w:lastRenderedPageBreak/>
              <w:t xml:space="preserve">H12 – Avaliar impactos em ambientes naturais decorrentes de atividades sociais ou </w:t>
            </w:r>
            <w:r w:rsidRPr="00BE629A">
              <w:rPr>
                <w:rFonts w:cs="Times New Roman"/>
                <w:szCs w:val="24"/>
              </w:rPr>
              <w:lastRenderedPageBreak/>
              <w:t>econômicas, considerando interesses contraditórios.</w:t>
            </w:r>
          </w:p>
        </w:tc>
      </w:tr>
      <w:tr w:rsidR="00EA2CA3" w:rsidRPr="003B7665" w:rsidTr="002F359E">
        <w:tc>
          <w:tcPr>
            <w:tcW w:w="8720" w:type="dxa"/>
            <w:gridSpan w:val="10"/>
          </w:tcPr>
          <w:p w:rsidR="00EA2CA3" w:rsidRPr="003B7665" w:rsidRDefault="00EA2CA3" w:rsidP="002F359E">
            <w:pPr>
              <w:rPr>
                <w:rFonts w:cs="Times New Roman"/>
                <w:b/>
                <w:i/>
                <w:szCs w:val="24"/>
              </w:rPr>
            </w:pPr>
            <w:r w:rsidRPr="003B7665">
              <w:rPr>
                <w:rFonts w:cs="Times New Roman"/>
                <w:i/>
                <w:szCs w:val="24"/>
              </w:rPr>
              <w:lastRenderedPageBreak/>
              <w:t>Competência de área 4 – Compreender interações entre organismos e ambiente, em particular aquelas relacionadas à saúde humana, relacionando conhecimentos científicos, aspectos culturais e características individuais.</w:t>
            </w:r>
          </w:p>
        </w:tc>
      </w:tr>
      <w:tr w:rsidR="00EA2CA3" w:rsidRPr="00BE629A" w:rsidTr="002F359E">
        <w:tc>
          <w:tcPr>
            <w:tcW w:w="2044" w:type="dxa"/>
            <w:gridSpan w:val="2"/>
          </w:tcPr>
          <w:p w:rsidR="00EA2CA3" w:rsidRPr="00BE629A" w:rsidRDefault="00EA2CA3" w:rsidP="002F359E">
            <w:pPr>
              <w:rPr>
                <w:rFonts w:cs="Times New Roman"/>
                <w:b/>
                <w:szCs w:val="24"/>
              </w:rPr>
            </w:pPr>
            <w:r w:rsidRPr="00BE629A">
              <w:rPr>
                <w:rFonts w:cs="Times New Roman"/>
                <w:szCs w:val="24"/>
              </w:rPr>
              <w:t>H13 – Reconhecer mecanismos de transmissão da vida, prevendo ou explicando a manifestação de características dos seres vivos.</w:t>
            </w:r>
          </w:p>
        </w:tc>
        <w:tc>
          <w:tcPr>
            <w:tcW w:w="2261" w:type="dxa"/>
            <w:gridSpan w:val="3"/>
          </w:tcPr>
          <w:p w:rsidR="00EA2CA3" w:rsidRPr="00BE629A" w:rsidRDefault="00EA2CA3" w:rsidP="002F359E">
            <w:pPr>
              <w:rPr>
                <w:rFonts w:cs="Times New Roman"/>
                <w:szCs w:val="24"/>
              </w:rPr>
            </w:pPr>
            <w:r w:rsidRPr="00BE629A">
              <w:rPr>
                <w:rFonts w:cs="Times New Roman"/>
                <w:szCs w:val="24"/>
              </w:rPr>
              <w:t>H14 – Identificar padrões em fenômenos e processos vitais dos organismos, como manutenção do equilíbrio interno, defesa, relações com o ambiente, sexualidade, entre outros.</w:t>
            </w:r>
          </w:p>
        </w:tc>
        <w:tc>
          <w:tcPr>
            <w:tcW w:w="2327" w:type="dxa"/>
            <w:gridSpan w:val="3"/>
          </w:tcPr>
          <w:p w:rsidR="00EA2CA3" w:rsidRPr="00BE629A" w:rsidRDefault="00EA2CA3" w:rsidP="002F359E">
            <w:pPr>
              <w:rPr>
                <w:rFonts w:cs="Times New Roman"/>
                <w:szCs w:val="24"/>
              </w:rPr>
            </w:pPr>
            <w:r w:rsidRPr="00BE629A">
              <w:rPr>
                <w:rFonts w:cs="Times New Roman"/>
                <w:szCs w:val="24"/>
              </w:rPr>
              <w:t>H15 – Interpretar modelos e experimentos para explicar fenômenos ou processos biológicos em qualquer nível de organização dos sistemas biológicos.</w:t>
            </w:r>
          </w:p>
        </w:tc>
        <w:tc>
          <w:tcPr>
            <w:tcW w:w="2088" w:type="dxa"/>
            <w:gridSpan w:val="2"/>
          </w:tcPr>
          <w:p w:rsidR="00EA2CA3" w:rsidRPr="00BE629A" w:rsidRDefault="00EA2CA3" w:rsidP="002F359E">
            <w:pPr>
              <w:rPr>
                <w:rFonts w:cs="Times New Roman"/>
                <w:szCs w:val="24"/>
              </w:rPr>
            </w:pPr>
            <w:r w:rsidRPr="00BE629A">
              <w:rPr>
                <w:rFonts w:cs="Times New Roman"/>
                <w:szCs w:val="24"/>
              </w:rPr>
              <w:t>H16 – Compreender o papel da evolução na produção de padrões, processos biológicos ou na organização taxonômica dos seres vivos.</w:t>
            </w:r>
          </w:p>
        </w:tc>
      </w:tr>
      <w:tr w:rsidR="00EA2CA3" w:rsidRPr="003B7665" w:rsidTr="002F359E">
        <w:tc>
          <w:tcPr>
            <w:tcW w:w="8720" w:type="dxa"/>
            <w:gridSpan w:val="10"/>
          </w:tcPr>
          <w:p w:rsidR="00EA2CA3" w:rsidRPr="003B7665" w:rsidRDefault="00EA2CA3" w:rsidP="002F359E">
            <w:pPr>
              <w:rPr>
                <w:rFonts w:cs="Times New Roman"/>
                <w:b/>
                <w:i/>
                <w:szCs w:val="24"/>
              </w:rPr>
            </w:pPr>
            <w:r w:rsidRPr="003B7665">
              <w:rPr>
                <w:rFonts w:cs="Times New Roman"/>
                <w:i/>
                <w:szCs w:val="24"/>
              </w:rPr>
              <w:t>Competência de área 5 – Entender métodos e procedimentos próprios das ciências naturais e aplicá-los em diferentes contextos.</w:t>
            </w:r>
          </w:p>
        </w:tc>
      </w:tr>
      <w:tr w:rsidR="00EA2CA3" w:rsidRPr="00BE629A" w:rsidTr="002F359E">
        <w:tc>
          <w:tcPr>
            <w:tcW w:w="2884" w:type="dxa"/>
            <w:gridSpan w:val="3"/>
          </w:tcPr>
          <w:p w:rsidR="00EA2CA3" w:rsidRPr="00BE629A" w:rsidRDefault="00EA2CA3" w:rsidP="002F359E">
            <w:pPr>
              <w:rPr>
                <w:rFonts w:cs="Times New Roman"/>
                <w:b/>
                <w:szCs w:val="24"/>
              </w:rPr>
            </w:pPr>
            <w:r w:rsidRPr="00BE629A">
              <w:rPr>
                <w:rFonts w:cs="Times New Roman"/>
                <w:szCs w:val="24"/>
              </w:rPr>
              <w:t>H17 – Relacionar informações apresentadas em diferentes formas de linguagem e representação usadas nas ciências físicas, químicas ou biológicas, como texto discursivo, gráficos, tabelas, relações matemáticas ou linguagem simbólica.</w:t>
            </w:r>
          </w:p>
        </w:tc>
        <w:tc>
          <w:tcPr>
            <w:tcW w:w="2966" w:type="dxa"/>
            <w:gridSpan w:val="4"/>
          </w:tcPr>
          <w:p w:rsidR="00EA2CA3" w:rsidRPr="00BE629A" w:rsidRDefault="00EA2CA3" w:rsidP="002F359E">
            <w:pPr>
              <w:rPr>
                <w:rFonts w:cs="Times New Roman"/>
                <w:szCs w:val="24"/>
              </w:rPr>
            </w:pPr>
            <w:r w:rsidRPr="00BE629A">
              <w:rPr>
                <w:rFonts w:cs="Times New Roman"/>
                <w:szCs w:val="24"/>
              </w:rPr>
              <w:t>H18 – Relacionar propriedades físicas, químicas ou biológicas de produtos, sistemas ou procedimentos tecnológicos às finalidades a que se destinam.</w:t>
            </w:r>
          </w:p>
        </w:tc>
        <w:tc>
          <w:tcPr>
            <w:tcW w:w="2870" w:type="dxa"/>
            <w:gridSpan w:val="3"/>
          </w:tcPr>
          <w:p w:rsidR="00EA2CA3" w:rsidRPr="00BE629A" w:rsidRDefault="00EA2CA3" w:rsidP="002F359E">
            <w:pPr>
              <w:rPr>
                <w:rFonts w:cs="Times New Roman"/>
                <w:szCs w:val="24"/>
              </w:rPr>
            </w:pPr>
            <w:r w:rsidRPr="00BE629A">
              <w:rPr>
                <w:rFonts w:cs="Times New Roman"/>
                <w:szCs w:val="24"/>
              </w:rPr>
              <w:t>H19 – Avaliar métodos, processos ou procedimentos das ciências naturais que contribuam para diagnosticar ou solucionar problemas de ordem social, econômica ou ambiental.</w:t>
            </w:r>
          </w:p>
        </w:tc>
      </w:tr>
      <w:tr w:rsidR="00EA2CA3" w:rsidRPr="003B7665" w:rsidTr="002F359E">
        <w:tc>
          <w:tcPr>
            <w:tcW w:w="8720" w:type="dxa"/>
            <w:gridSpan w:val="10"/>
          </w:tcPr>
          <w:p w:rsidR="00EA2CA3" w:rsidRPr="003B7665" w:rsidRDefault="00EA2CA3" w:rsidP="002F359E">
            <w:pPr>
              <w:rPr>
                <w:rFonts w:cs="Times New Roman"/>
                <w:b/>
                <w:i/>
                <w:szCs w:val="24"/>
              </w:rPr>
            </w:pPr>
            <w:r w:rsidRPr="003B7665">
              <w:rPr>
                <w:rFonts w:cs="Times New Roman"/>
                <w:i/>
                <w:szCs w:val="24"/>
              </w:rPr>
              <w:t>Competência de área 6 – Apropriar-se de conhecimentos da física para, em situações problema, interpretar, avaliar ou planejar intervenções científico</w:t>
            </w:r>
            <w:r>
              <w:rPr>
                <w:rFonts w:cs="Times New Roman"/>
                <w:i/>
                <w:szCs w:val="24"/>
              </w:rPr>
              <w:t xml:space="preserve"> </w:t>
            </w:r>
            <w:r w:rsidRPr="003B7665">
              <w:rPr>
                <w:rFonts w:cs="Times New Roman"/>
                <w:i/>
                <w:szCs w:val="24"/>
              </w:rPr>
              <w:t>tecnológicas.</w:t>
            </w:r>
          </w:p>
        </w:tc>
      </w:tr>
      <w:tr w:rsidR="00EA2CA3" w:rsidRPr="00BE629A" w:rsidTr="002F359E">
        <w:tc>
          <w:tcPr>
            <w:tcW w:w="2044" w:type="dxa"/>
            <w:gridSpan w:val="2"/>
          </w:tcPr>
          <w:p w:rsidR="00EA2CA3" w:rsidRPr="00BE629A" w:rsidRDefault="00EA2CA3" w:rsidP="002F359E">
            <w:pPr>
              <w:rPr>
                <w:rFonts w:cs="Times New Roman"/>
                <w:b/>
                <w:szCs w:val="24"/>
              </w:rPr>
            </w:pPr>
            <w:r w:rsidRPr="00BE629A">
              <w:rPr>
                <w:rFonts w:cs="Times New Roman"/>
                <w:szCs w:val="24"/>
              </w:rPr>
              <w:t>H20 – Caracterizar causas ou efeitos dos movimentos de partículas, substâncias, objetos ou corpos celestes.</w:t>
            </w:r>
          </w:p>
        </w:tc>
        <w:tc>
          <w:tcPr>
            <w:tcW w:w="2261" w:type="dxa"/>
            <w:gridSpan w:val="3"/>
          </w:tcPr>
          <w:p w:rsidR="00EA2CA3" w:rsidRPr="00BE629A" w:rsidRDefault="00EA2CA3" w:rsidP="002F359E">
            <w:pPr>
              <w:rPr>
                <w:rFonts w:cs="Times New Roman"/>
                <w:szCs w:val="24"/>
              </w:rPr>
            </w:pPr>
            <w:r w:rsidRPr="00BE629A">
              <w:rPr>
                <w:rFonts w:cs="Times New Roman"/>
                <w:szCs w:val="24"/>
              </w:rPr>
              <w:t xml:space="preserve">H21 – Utilizar leis físicas e (ou) químicas para interpretar processos naturais ou tecnológicos inseridos no contexto da termodinâmica </w:t>
            </w:r>
            <w:proofErr w:type="gramStart"/>
            <w:r w:rsidRPr="00BE629A">
              <w:rPr>
                <w:rFonts w:cs="Times New Roman"/>
                <w:szCs w:val="24"/>
              </w:rPr>
              <w:t>e(</w:t>
            </w:r>
            <w:proofErr w:type="gramEnd"/>
            <w:r w:rsidRPr="00BE629A">
              <w:rPr>
                <w:rFonts w:cs="Times New Roman"/>
                <w:szCs w:val="24"/>
              </w:rPr>
              <w:t xml:space="preserve">ou) do </w:t>
            </w:r>
            <w:r w:rsidRPr="00BE629A">
              <w:rPr>
                <w:rFonts w:cs="Times New Roman"/>
                <w:szCs w:val="24"/>
              </w:rPr>
              <w:lastRenderedPageBreak/>
              <w:t>eletromagnetismo.</w:t>
            </w:r>
          </w:p>
        </w:tc>
        <w:tc>
          <w:tcPr>
            <w:tcW w:w="2327" w:type="dxa"/>
            <w:gridSpan w:val="3"/>
          </w:tcPr>
          <w:p w:rsidR="00EA2CA3" w:rsidRPr="00BE629A" w:rsidRDefault="00EA2CA3" w:rsidP="002F359E">
            <w:pPr>
              <w:rPr>
                <w:rFonts w:cs="Times New Roman"/>
                <w:szCs w:val="24"/>
              </w:rPr>
            </w:pPr>
            <w:r w:rsidRPr="00BE629A">
              <w:rPr>
                <w:rFonts w:cs="Times New Roman"/>
                <w:szCs w:val="24"/>
              </w:rPr>
              <w:lastRenderedPageBreak/>
              <w:t xml:space="preserve">H22 – Compreender fenômenos decorrentes da interação entre a radiação e a matéria em suas manifestações em processos naturais ou tecnológicos, ou em </w:t>
            </w:r>
            <w:r w:rsidRPr="00BE629A">
              <w:rPr>
                <w:rFonts w:cs="Times New Roman"/>
                <w:szCs w:val="24"/>
              </w:rPr>
              <w:lastRenderedPageBreak/>
              <w:t>suas implicações biológicas, sociais, econômicas ou ambientais.</w:t>
            </w:r>
          </w:p>
        </w:tc>
        <w:tc>
          <w:tcPr>
            <w:tcW w:w="2088" w:type="dxa"/>
            <w:gridSpan w:val="2"/>
          </w:tcPr>
          <w:p w:rsidR="00EA2CA3" w:rsidRPr="00BE629A" w:rsidRDefault="00EA2CA3" w:rsidP="002F359E">
            <w:pPr>
              <w:rPr>
                <w:rFonts w:cs="Times New Roman"/>
                <w:szCs w:val="24"/>
              </w:rPr>
            </w:pPr>
            <w:r w:rsidRPr="00BE629A">
              <w:rPr>
                <w:rFonts w:cs="Times New Roman"/>
                <w:szCs w:val="24"/>
              </w:rPr>
              <w:lastRenderedPageBreak/>
              <w:t xml:space="preserve">H23 – Avaliar possibilidades de geração, uso ou transformação de energia em ambientes específicos, considerando implicações éticas, </w:t>
            </w:r>
            <w:r w:rsidRPr="00BE629A">
              <w:rPr>
                <w:rFonts w:cs="Times New Roman"/>
                <w:szCs w:val="24"/>
              </w:rPr>
              <w:lastRenderedPageBreak/>
              <w:t>ambientais, sociais e/ou econômicas.</w:t>
            </w:r>
          </w:p>
        </w:tc>
      </w:tr>
      <w:tr w:rsidR="00EA2CA3" w:rsidRPr="003B7665" w:rsidTr="002F359E">
        <w:tc>
          <w:tcPr>
            <w:tcW w:w="8720" w:type="dxa"/>
            <w:gridSpan w:val="10"/>
          </w:tcPr>
          <w:p w:rsidR="00EA2CA3" w:rsidRPr="003B7665" w:rsidRDefault="00EA2CA3" w:rsidP="002F359E">
            <w:pPr>
              <w:rPr>
                <w:rFonts w:cs="Times New Roman"/>
                <w:b/>
                <w:i/>
                <w:szCs w:val="24"/>
              </w:rPr>
            </w:pPr>
            <w:r w:rsidRPr="003B7665">
              <w:rPr>
                <w:rFonts w:cs="Times New Roman"/>
                <w:i/>
                <w:szCs w:val="24"/>
              </w:rPr>
              <w:lastRenderedPageBreak/>
              <w:t>Competência de área 7 – Apropriar-se de conhecimentos da química para, em situações problema, interpretar, avaliar ou planejar intervenções científico</w:t>
            </w:r>
            <w:r>
              <w:rPr>
                <w:rFonts w:cs="Times New Roman"/>
                <w:i/>
                <w:szCs w:val="24"/>
              </w:rPr>
              <w:t xml:space="preserve"> </w:t>
            </w:r>
            <w:r w:rsidRPr="003B7665">
              <w:rPr>
                <w:rFonts w:cs="Times New Roman"/>
                <w:i/>
                <w:szCs w:val="24"/>
              </w:rPr>
              <w:t>tecnológicas.</w:t>
            </w:r>
          </w:p>
        </w:tc>
      </w:tr>
      <w:tr w:rsidR="00EA2CA3" w:rsidRPr="00BE629A" w:rsidTr="002F359E">
        <w:tc>
          <w:tcPr>
            <w:tcW w:w="2044" w:type="dxa"/>
            <w:gridSpan w:val="2"/>
          </w:tcPr>
          <w:p w:rsidR="00EA2CA3" w:rsidRPr="00BE629A" w:rsidRDefault="00EA2CA3" w:rsidP="002F359E">
            <w:pPr>
              <w:rPr>
                <w:rFonts w:cs="Times New Roman"/>
                <w:b/>
                <w:szCs w:val="24"/>
              </w:rPr>
            </w:pPr>
            <w:r w:rsidRPr="00BE629A">
              <w:rPr>
                <w:rFonts w:cs="Times New Roman"/>
                <w:szCs w:val="24"/>
              </w:rPr>
              <w:t>H24 – Utilizar códigos e nomenclatura da química para caracterizar materiais, substâncias ou transformações químicas.</w:t>
            </w:r>
          </w:p>
        </w:tc>
        <w:tc>
          <w:tcPr>
            <w:tcW w:w="2261" w:type="dxa"/>
            <w:gridSpan w:val="3"/>
          </w:tcPr>
          <w:p w:rsidR="00EA2CA3" w:rsidRPr="00BE629A" w:rsidRDefault="00EA2CA3" w:rsidP="002F359E">
            <w:pPr>
              <w:rPr>
                <w:rFonts w:cs="Times New Roman"/>
                <w:szCs w:val="24"/>
              </w:rPr>
            </w:pPr>
            <w:r w:rsidRPr="00BE629A">
              <w:rPr>
                <w:rFonts w:cs="Times New Roman"/>
                <w:szCs w:val="24"/>
              </w:rPr>
              <w:t>H25 – Caracterizar materiais ou substâncias, identificando etapas, rendimentos ou implicações biológicas, sociais, econômicas ou ambientais de sua obtenção ou produção.</w:t>
            </w:r>
          </w:p>
        </w:tc>
        <w:tc>
          <w:tcPr>
            <w:tcW w:w="2327" w:type="dxa"/>
            <w:gridSpan w:val="3"/>
          </w:tcPr>
          <w:p w:rsidR="00EA2CA3" w:rsidRPr="00BE629A" w:rsidRDefault="00EA2CA3" w:rsidP="002F359E">
            <w:pPr>
              <w:rPr>
                <w:rFonts w:cs="Times New Roman"/>
                <w:szCs w:val="24"/>
              </w:rPr>
            </w:pPr>
            <w:r w:rsidRPr="00BE629A">
              <w:rPr>
                <w:rFonts w:cs="Times New Roman"/>
                <w:szCs w:val="24"/>
              </w:rPr>
              <w:t>H26 – Avaliar implicações sociais, ambientais e/ou econômicas na produção ou no consumo de recursos energéticos ou minerais, identificando transformações químicas ou de energia envolvidas nesses processos.</w:t>
            </w:r>
          </w:p>
        </w:tc>
        <w:tc>
          <w:tcPr>
            <w:tcW w:w="2088" w:type="dxa"/>
            <w:gridSpan w:val="2"/>
          </w:tcPr>
          <w:p w:rsidR="00EA2CA3" w:rsidRPr="00BE629A" w:rsidRDefault="00EA2CA3" w:rsidP="002F359E">
            <w:pPr>
              <w:rPr>
                <w:rFonts w:cs="Times New Roman"/>
                <w:szCs w:val="24"/>
              </w:rPr>
            </w:pPr>
            <w:r w:rsidRPr="00BE629A">
              <w:rPr>
                <w:rFonts w:cs="Times New Roman"/>
                <w:szCs w:val="24"/>
              </w:rPr>
              <w:t>H27 – Avaliar propostas de intervenção no meio ambiente aplicando conhecimentos químicos, observando riscos ou benefícios.</w:t>
            </w:r>
          </w:p>
        </w:tc>
      </w:tr>
      <w:tr w:rsidR="00EA2CA3" w:rsidRPr="003B7665" w:rsidTr="002F359E">
        <w:tc>
          <w:tcPr>
            <w:tcW w:w="8720" w:type="dxa"/>
            <w:gridSpan w:val="10"/>
          </w:tcPr>
          <w:p w:rsidR="00EA2CA3" w:rsidRPr="003B7665" w:rsidRDefault="00EA2CA3" w:rsidP="002F359E">
            <w:pPr>
              <w:rPr>
                <w:rFonts w:cs="Times New Roman"/>
                <w:b/>
                <w:i/>
                <w:szCs w:val="24"/>
              </w:rPr>
            </w:pPr>
            <w:r w:rsidRPr="003B7665">
              <w:rPr>
                <w:rFonts w:cs="Times New Roman"/>
                <w:i/>
                <w:szCs w:val="24"/>
              </w:rPr>
              <w:t>Competência de área 8 – Apropriar-se de conhecimentos da biologia para, em situações problema, interpretar, avaliar ou planejar intervenções científico</w:t>
            </w:r>
            <w:r>
              <w:rPr>
                <w:rFonts w:cs="Times New Roman"/>
                <w:i/>
                <w:szCs w:val="24"/>
              </w:rPr>
              <w:t xml:space="preserve"> </w:t>
            </w:r>
            <w:r w:rsidRPr="003B7665">
              <w:rPr>
                <w:rFonts w:cs="Times New Roman"/>
                <w:i/>
                <w:szCs w:val="24"/>
              </w:rPr>
              <w:t>tecnológicas.</w:t>
            </w:r>
          </w:p>
        </w:tc>
      </w:tr>
      <w:tr w:rsidR="00EA2CA3" w:rsidRPr="00BE629A" w:rsidTr="002F359E">
        <w:tc>
          <w:tcPr>
            <w:tcW w:w="2884" w:type="dxa"/>
            <w:gridSpan w:val="3"/>
          </w:tcPr>
          <w:p w:rsidR="00EA2CA3" w:rsidRPr="00BE629A" w:rsidRDefault="00EA2CA3" w:rsidP="002F359E">
            <w:pPr>
              <w:rPr>
                <w:rFonts w:cs="Times New Roman"/>
                <w:b/>
                <w:szCs w:val="24"/>
              </w:rPr>
            </w:pPr>
            <w:r w:rsidRPr="00BE629A">
              <w:rPr>
                <w:rFonts w:cs="Times New Roman"/>
                <w:szCs w:val="24"/>
              </w:rPr>
              <w:t>H28 – Associar características adaptativas dos organismos com seu modo de vida ou com seus limites de distribuição em diferentes ambientes, em especial em ambientes brasileiros.</w:t>
            </w:r>
          </w:p>
        </w:tc>
        <w:tc>
          <w:tcPr>
            <w:tcW w:w="2966" w:type="dxa"/>
            <w:gridSpan w:val="4"/>
          </w:tcPr>
          <w:p w:rsidR="00EA2CA3" w:rsidRPr="00BE629A" w:rsidRDefault="00EA2CA3" w:rsidP="002F359E">
            <w:pPr>
              <w:rPr>
                <w:rFonts w:cs="Times New Roman"/>
                <w:szCs w:val="24"/>
              </w:rPr>
            </w:pPr>
            <w:r w:rsidRPr="00BE629A">
              <w:rPr>
                <w:rFonts w:cs="Times New Roman"/>
                <w:szCs w:val="24"/>
              </w:rPr>
              <w:t>H29 – Interpretar experimentos ou técnicas que utilizam seres vivos, analisando implicações para o ambiente, a saúde, a produção de alimentos, matérias primas ou produtos industriais.</w:t>
            </w:r>
          </w:p>
        </w:tc>
        <w:tc>
          <w:tcPr>
            <w:tcW w:w="2870" w:type="dxa"/>
            <w:gridSpan w:val="3"/>
          </w:tcPr>
          <w:p w:rsidR="00EA2CA3" w:rsidRPr="00BE629A" w:rsidRDefault="00EA2CA3" w:rsidP="002F359E">
            <w:pPr>
              <w:rPr>
                <w:rFonts w:cs="Times New Roman"/>
                <w:szCs w:val="24"/>
              </w:rPr>
            </w:pPr>
            <w:r w:rsidRPr="00BE629A">
              <w:rPr>
                <w:rFonts w:cs="Times New Roman"/>
                <w:szCs w:val="24"/>
              </w:rPr>
              <w:t xml:space="preserve">H30 – Avaliar propostas de alcance individual ou coletivo, identificando aquelas que visam à preservação e a </w:t>
            </w:r>
            <w:proofErr w:type="gramStart"/>
            <w:r w:rsidRPr="00BE629A">
              <w:rPr>
                <w:rFonts w:cs="Times New Roman"/>
                <w:szCs w:val="24"/>
              </w:rPr>
              <w:t>implementação</w:t>
            </w:r>
            <w:proofErr w:type="gramEnd"/>
            <w:r w:rsidRPr="00BE629A">
              <w:rPr>
                <w:rFonts w:cs="Times New Roman"/>
                <w:szCs w:val="24"/>
              </w:rPr>
              <w:t xml:space="preserve"> da saúde individual, coletiva ou do ambiente.</w:t>
            </w:r>
          </w:p>
        </w:tc>
      </w:tr>
    </w:tbl>
    <w:p w:rsidR="00EA2CA3" w:rsidRPr="00B30F69" w:rsidRDefault="00EA2CA3" w:rsidP="00EA2CA3">
      <w:pPr>
        <w:ind w:firstLine="0"/>
        <w:rPr>
          <w:rFonts w:cs="Times New Roman"/>
          <w:szCs w:val="24"/>
        </w:rPr>
      </w:pPr>
      <w:r w:rsidRPr="00B30F69">
        <w:rPr>
          <w:rFonts w:cs="Times New Roman"/>
          <w:szCs w:val="24"/>
        </w:rPr>
        <w:t>Fonte: Brasil, 2012</w:t>
      </w:r>
    </w:p>
    <w:p w:rsidR="00EA2CA3" w:rsidRDefault="00EA2CA3" w:rsidP="00EA2CA3">
      <w:pPr>
        <w:rPr>
          <w:rFonts w:cs="Times New Roman"/>
          <w:szCs w:val="24"/>
        </w:rPr>
      </w:pPr>
      <w:r>
        <w:rPr>
          <w:rFonts w:cs="Times New Roman"/>
          <w:szCs w:val="24"/>
        </w:rPr>
        <w:t xml:space="preserve">Considerando que o ENEM é orientado por uma </w:t>
      </w:r>
      <w:r w:rsidRPr="007B45FD">
        <w:rPr>
          <w:rFonts w:cs="Times New Roman"/>
          <w:szCs w:val="24"/>
        </w:rPr>
        <w:t>Matriz de Referência</w:t>
      </w:r>
      <w:r>
        <w:rPr>
          <w:rFonts w:cs="Times New Roman"/>
          <w:szCs w:val="24"/>
        </w:rPr>
        <w:t xml:space="preserve"> com Eixos Cognitivos, baseando-se em Competências e Habilidades para a resolução de situações-problema, observou-se quais as competências e habilidades que se fizeram presentes no último triênio do exame, a interdisciplinaridade e ainda a temática abordada em cada questão.</w:t>
      </w:r>
    </w:p>
    <w:p w:rsidR="00EA2CA3" w:rsidRDefault="00EA2CA3" w:rsidP="00EA2CA3">
      <w:pPr>
        <w:rPr>
          <w:rFonts w:cs="Times New Roman"/>
          <w:szCs w:val="24"/>
        </w:rPr>
      </w:pPr>
      <w:r>
        <w:rPr>
          <w:rFonts w:cs="Times New Roman"/>
          <w:szCs w:val="24"/>
        </w:rPr>
        <w:t xml:space="preserve">Foram selecionados os enunciados de 15 questões do total de 45 da área de Ciências da Natureza de cada ano do último triênio de aplicação do exame, sendo estes específicos da disciplina de Química. </w:t>
      </w:r>
    </w:p>
    <w:p w:rsidR="00EA2CA3" w:rsidRDefault="00EA2CA3" w:rsidP="00EA2CA3">
      <w:pPr>
        <w:rPr>
          <w:rFonts w:cs="Times New Roman"/>
          <w:szCs w:val="24"/>
        </w:rPr>
      </w:pPr>
      <w:r>
        <w:rPr>
          <w:rFonts w:cs="Times New Roman"/>
          <w:szCs w:val="24"/>
        </w:rPr>
        <w:t xml:space="preserve">Nas questões analisadas do ano 2015 foram identificados três tipos de competências, são elas: </w:t>
      </w:r>
      <w:proofErr w:type="gramStart"/>
      <w:r>
        <w:rPr>
          <w:rFonts w:cs="Times New Roman"/>
          <w:szCs w:val="24"/>
        </w:rPr>
        <w:t>3</w:t>
      </w:r>
      <w:proofErr w:type="gramEnd"/>
      <w:r>
        <w:rPr>
          <w:rFonts w:cs="Times New Roman"/>
          <w:szCs w:val="24"/>
        </w:rPr>
        <w:t xml:space="preserve"> (7%)</w:t>
      </w:r>
      <w:r w:rsidRPr="00367D41">
        <w:rPr>
          <w:rFonts w:cs="Times New Roman"/>
          <w:szCs w:val="24"/>
        </w:rPr>
        <w:t>, 5</w:t>
      </w:r>
      <w:r>
        <w:rPr>
          <w:rFonts w:cs="Times New Roman"/>
          <w:szCs w:val="24"/>
        </w:rPr>
        <w:t xml:space="preserve"> (53%)</w:t>
      </w:r>
      <w:r w:rsidRPr="00367D41">
        <w:rPr>
          <w:rFonts w:cs="Times New Roman"/>
          <w:szCs w:val="24"/>
        </w:rPr>
        <w:t xml:space="preserve"> e 7</w:t>
      </w:r>
      <w:r>
        <w:rPr>
          <w:rFonts w:cs="Times New Roman"/>
          <w:szCs w:val="24"/>
        </w:rPr>
        <w:t xml:space="preserve"> (40%).</w:t>
      </w:r>
      <w:r w:rsidRPr="00367D41">
        <w:rPr>
          <w:rFonts w:cs="Times New Roman"/>
          <w:szCs w:val="24"/>
        </w:rPr>
        <w:t xml:space="preserve"> </w:t>
      </w:r>
      <w:r>
        <w:rPr>
          <w:rFonts w:cs="Times New Roman"/>
          <w:szCs w:val="24"/>
        </w:rPr>
        <w:t>S</w:t>
      </w:r>
      <w:r w:rsidRPr="00367D41">
        <w:rPr>
          <w:rFonts w:cs="Times New Roman"/>
          <w:szCs w:val="24"/>
        </w:rPr>
        <w:t xml:space="preserve">endo </w:t>
      </w:r>
      <w:r>
        <w:rPr>
          <w:rFonts w:cs="Times New Roman"/>
          <w:szCs w:val="24"/>
        </w:rPr>
        <w:t xml:space="preserve">a Competência </w:t>
      </w:r>
      <w:proofErr w:type="gramStart"/>
      <w:r>
        <w:rPr>
          <w:rFonts w:cs="Times New Roman"/>
          <w:szCs w:val="24"/>
        </w:rPr>
        <w:t>5</w:t>
      </w:r>
      <w:proofErr w:type="gramEnd"/>
      <w:r>
        <w:rPr>
          <w:rFonts w:cs="Times New Roman"/>
          <w:szCs w:val="24"/>
        </w:rPr>
        <w:t xml:space="preserve"> a que mais apareceu nos itens, estando presente em mais de 50% das questões. </w:t>
      </w:r>
    </w:p>
    <w:p w:rsidR="00EA2CA3" w:rsidRDefault="00EA2CA3" w:rsidP="00EA2CA3">
      <w:pPr>
        <w:ind w:firstLine="851"/>
        <w:rPr>
          <w:rFonts w:cs="Times New Roman"/>
          <w:szCs w:val="24"/>
        </w:rPr>
      </w:pPr>
      <w:r w:rsidRPr="00B74973">
        <w:rPr>
          <w:rFonts w:cs="Times New Roman"/>
          <w:szCs w:val="24"/>
        </w:rPr>
        <w:lastRenderedPageBreak/>
        <w:t xml:space="preserve">No que se refere às habilidades a pesquisa identificou nas questões de 2015 seis </w:t>
      </w:r>
      <w:r>
        <w:rPr>
          <w:rFonts w:cs="Times New Roman"/>
          <w:szCs w:val="24"/>
        </w:rPr>
        <w:t>delas:</w:t>
      </w:r>
      <w:r w:rsidRPr="00B74973">
        <w:rPr>
          <w:rFonts w:cs="Times New Roman"/>
          <w:szCs w:val="24"/>
        </w:rPr>
        <w:t xml:space="preserve"> 08</w:t>
      </w:r>
      <w:r>
        <w:rPr>
          <w:rFonts w:cs="Times New Roman"/>
          <w:szCs w:val="24"/>
        </w:rPr>
        <w:t xml:space="preserve"> (6,66%)</w:t>
      </w:r>
      <w:r w:rsidRPr="00B74973">
        <w:rPr>
          <w:rFonts w:cs="Times New Roman"/>
          <w:szCs w:val="24"/>
        </w:rPr>
        <w:t>, 17</w:t>
      </w:r>
      <w:r>
        <w:rPr>
          <w:rFonts w:cs="Times New Roman"/>
          <w:szCs w:val="24"/>
        </w:rPr>
        <w:t xml:space="preserve"> (33%)</w:t>
      </w:r>
      <w:r w:rsidRPr="00B74973">
        <w:rPr>
          <w:rFonts w:cs="Times New Roman"/>
          <w:szCs w:val="24"/>
        </w:rPr>
        <w:t>, 18</w:t>
      </w:r>
      <w:r>
        <w:rPr>
          <w:rFonts w:cs="Times New Roman"/>
          <w:szCs w:val="24"/>
        </w:rPr>
        <w:t xml:space="preserve"> (13,30%)</w:t>
      </w:r>
      <w:r w:rsidRPr="00B74973">
        <w:rPr>
          <w:rFonts w:cs="Times New Roman"/>
          <w:szCs w:val="24"/>
        </w:rPr>
        <w:t>, 19</w:t>
      </w:r>
      <w:r>
        <w:rPr>
          <w:rFonts w:cs="Times New Roman"/>
          <w:szCs w:val="24"/>
        </w:rPr>
        <w:t xml:space="preserve"> (6,66%)</w:t>
      </w:r>
      <w:r w:rsidRPr="00B74973">
        <w:rPr>
          <w:rFonts w:cs="Times New Roman"/>
          <w:szCs w:val="24"/>
        </w:rPr>
        <w:t xml:space="preserve">, 24 </w:t>
      </w:r>
      <w:r>
        <w:rPr>
          <w:rFonts w:cs="Times New Roman"/>
          <w:szCs w:val="24"/>
        </w:rPr>
        <w:t xml:space="preserve">(26,66%) </w:t>
      </w:r>
      <w:r w:rsidRPr="00B74973">
        <w:rPr>
          <w:rFonts w:cs="Times New Roman"/>
          <w:szCs w:val="24"/>
        </w:rPr>
        <w:t>e 27</w:t>
      </w:r>
      <w:r>
        <w:rPr>
          <w:rFonts w:cs="Times New Roman"/>
          <w:szCs w:val="24"/>
        </w:rPr>
        <w:t xml:space="preserve"> (13,30%), sendo as Habilidades 17 e 24</w:t>
      </w:r>
      <w:r w:rsidRPr="00B74973">
        <w:rPr>
          <w:rFonts w:cs="Times New Roman"/>
          <w:szCs w:val="24"/>
        </w:rPr>
        <w:t xml:space="preserve"> as que mais apareceram nas questões anal</w:t>
      </w:r>
      <w:r>
        <w:rPr>
          <w:rFonts w:cs="Times New Roman"/>
          <w:szCs w:val="24"/>
        </w:rPr>
        <w:t>isadas.</w:t>
      </w:r>
    </w:p>
    <w:p w:rsidR="00EA2CA3" w:rsidRDefault="00EA2CA3" w:rsidP="00EA2CA3">
      <w:pPr>
        <w:rPr>
          <w:rFonts w:cs="Times New Roman"/>
          <w:szCs w:val="24"/>
        </w:rPr>
      </w:pPr>
      <w:r>
        <w:rPr>
          <w:rFonts w:cs="Times New Roman"/>
          <w:szCs w:val="24"/>
        </w:rPr>
        <w:t xml:space="preserve">Outro quesito analisado pela pesquisa foi </w:t>
      </w:r>
      <w:proofErr w:type="gramStart"/>
      <w:r>
        <w:rPr>
          <w:rFonts w:cs="Times New Roman"/>
          <w:szCs w:val="24"/>
        </w:rPr>
        <w:t>a</w:t>
      </w:r>
      <w:proofErr w:type="gramEnd"/>
      <w:r>
        <w:rPr>
          <w:rFonts w:cs="Times New Roman"/>
          <w:szCs w:val="24"/>
        </w:rPr>
        <w:t xml:space="preserve"> interdisciplinaridade presente em cada questão. As disciplinas que apareceram no ENEM de 2015 foram: Biologia, Matemática, Física e Literatura, sendo Biologia e Matemática </w:t>
      </w:r>
      <w:proofErr w:type="gramStart"/>
      <w:r>
        <w:rPr>
          <w:rFonts w:cs="Times New Roman"/>
          <w:szCs w:val="24"/>
        </w:rPr>
        <w:t>as mais presentes</w:t>
      </w:r>
      <w:proofErr w:type="gramEnd"/>
      <w:r>
        <w:rPr>
          <w:rFonts w:cs="Times New Roman"/>
          <w:szCs w:val="24"/>
        </w:rPr>
        <w:t xml:space="preserve">, respectivamente. </w:t>
      </w:r>
      <w:proofErr w:type="gramStart"/>
      <w:r>
        <w:rPr>
          <w:rFonts w:cs="Times New Roman"/>
          <w:szCs w:val="24"/>
        </w:rPr>
        <w:t>Foram</w:t>
      </w:r>
      <w:proofErr w:type="gramEnd"/>
      <w:r>
        <w:rPr>
          <w:rFonts w:cs="Times New Roman"/>
          <w:szCs w:val="24"/>
        </w:rPr>
        <w:t xml:space="preserve"> identificados ainda um número de questões nas quais a interdisciplinaridade não se fez presente, como pode ser visto na Figura 01. </w:t>
      </w:r>
    </w:p>
    <w:p w:rsidR="00EA2CA3" w:rsidRDefault="00EA2CA3" w:rsidP="00EA2CA3">
      <w:pPr>
        <w:tabs>
          <w:tab w:val="left" w:pos="2655"/>
        </w:tabs>
        <w:spacing w:line="240" w:lineRule="auto"/>
        <w:ind w:left="993"/>
        <w:rPr>
          <w:rFonts w:cs="Times New Roman"/>
          <w:b/>
          <w:szCs w:val="24"/>
        </w:rPr>
      </w:pPr>
    </w:p>
    <w:p w:rsidR="00EA2CA3" w:rsidRDefault="00EA2CA3" w:rsidP="00EA2CA3">
      <w:pPr>
        <w:tabs>
          <w:tab w:val="left" w:pos="2655"/>
        </w:tabs>
        <w:spacing w:line="240" w:lineRule="auto"/>
        <w:ind w:firstLine="0"/>
        <w:jc w:val="center"/>
        <w:rPr>
          <w:rFonts w:cs="Times New Roman"/>
          <w:szCs w:val="24"/>
        </w:rPr>
      </w:pPr>
      <w:r w:rsidRPr="00C643C8">
        <w:rPr>
          <w:rFonts w:cs="Times New Roman"/>
          <w:b/>
          <w:szCs w:val="24"/>
        </w:rPr>
        <w:t>Figura 0</w:t>
      </w:r>
      <w:r>
        <w:rPr>
          <w:rFonts w:cs="Times New Roman"/>
          <w:b/>
          <w:szCs w:val="24"/>
        </w:rPr>
        <w:t>1</w:t>
      </w:r>
      <w:r>
        <w:rPr>
          <w:rFonts w:cs="Times New Roman"/>
          <w:szCs w:val="24"/>
        </w:rPr>
        <w:t>-Interdisciplinaridade do ENEM 2015</w:t>
      </w:r>
    </w:p>
    <w:p w:rsidR="00EA2CA3" w:rsidRDefault="00EA2CA3" w:rsidP="00EA2CA3">
      <w:pPr>
        <w:jc w:val="center"/>
        <w:rPr>
          <w:rFonts w:cs="Times New Roman"/>
          <w:szCs w:val="24"/>
        </w:rPr>
      </w:pPr>
      <w:r>
        <w:rPr>
          <w:noProof/>
          <w:lang w:eastAsia="pt-BR"/>
        </w:rPr>
        <w:drawing>
          <wp:inline distT="0" distB="0" distL="0" distR="0" wp14:anchorId="40C1491F" wp14:editId="521F0AB2">
            <wp:extent cx="3457575" cy="1876425"/>
            <wp:effectExtent l="0" t="0" r="9525"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A2CA3" w:rsidRPr="00C643C8" w:rsidRDefault="00EA2CA3" w:rsidP="00EA2CA3">
      <w:pPr>
        <w:spacing w:line="240" w:lineRule="auto"/>
        <w:ind w:left="993"/>
        <w:rPr>
          <w:rFonts w:cs="Times New Roman"/>
          <w:sz w:val="20"/>
          <w:szCs w:val="24"/>
        </w:rPr>
      </w:pPr>
      <w:r>
        <w:rPr>
          <w:rFonts w:cs="Times New Roman"/>
          <w:b/>
          <w:sz w:val="20"/>
          <w:szCs w:val="24"/>
        </w:rPr>
        <w:t xml:space="preserve">   </w:t>
      </w:r>
      <w:r w:rsidRPr="00C643C8">
        <w:rPr>
          <w:rFonts w:cs="Times New Roman"/>
          <w:b/>
          <w:sz w:val="20"/>
          <w:szCs w:val="24"/>
        </w:rPr>
        <w:t>Fonte:</w:t>
      </w:r>
      <w:r>
        <w:rPr>
          <w:rFonts w:cs="Times New Roman"/>
          <w:b/>
          <w:sz w:val="20"/>
          <w:szCs w:val="24"/>
        </w:rPr>
        <w:t xml:space="preserve"> </w:t>
      </w:r>
      <w:r w:rsidRPr="00E9415F">
        <w:rPr>
          <w:rFonts w:cs="Times New Roman"/>
          <w:sz w:val="20"/>
          <w:szCs w:val="24"/>
        </w:rPr>
        <w:t>Própria</w:t>
      </w:r>
      <w:r>
        <w:rPr>
          <w:rFonts w:cs="Times New Roman"/>
          <w:b/>
          <w:sz w:val="20"/>
          <w:szCs w:val="24"/>
        </w:rPr>
        <w:t xml:space="preserve"> </w:t>
      </w:r>
      <w:r>
        <w:rPr>
          <w:rFonts w:cs="Times New Roman"/>
          <w:sz w:val="20"/>
          <w:szCs w:val="24"/>
        </w:rPr>
        <w:t>(2018)</w:t>
      </w:r>
    </w:p>
    <w:p w:rsidR="00EA2CA3" w:rsidRDefault="00EA2CA3" w:rsidP="00EA2CA3">
      <w:pPr>
        <w:rPr>
          <w:rFonts w:cs="Times New Roman"/>
          <w:szCs w:val="24"/>
        </w:rPr>
      </w:pPr>
    </w:p>
    <w:p w:rsidR="00EA2CA3" w:rsidRDefault="00EA2CA3" w:rsidP="00EA2CA3">
      <w:pPr>
        <w:rPr>
          <w:rFonts w:cs="Times New Roman"/>
          <w:szCs w:val="24"/>
        </w:rPr>
      </w:pPr>
      <w:r>
        <w:rPr>
          <w:rFonts w:cs="Times New Roman"/>
          <w:szCs w:val="24"/>
        </w:rPr>
        <w:t xml:space="preserve">Nesse contexto de interdisciplinaridade o PCNEM diz </w:t>
      </w:r>
      <w:r w:rsidRPr="006E615F">
        <w:rPr>
          <w:rFonts w:cs="Times New Roman"/>
          <w:szCs w:val="24"/>
        </w:rPr>
        <w:t>“que a interdisciplinaridade deve ser compreendida a partir de uma abordagem relacional, em que se propõe que, por meio da prática escolar, sejam estabelecidas interconexões e passagens entre os conhecimentos através de relações de complementaridade, convergência ou divergência”</w:t>
      </w:r>
      <w:r>
        <w:rPr>
          <w:rFonts w:cs="Times New Roman"/>
          <w:szCs w:val="24"/>
        </w:rPr>
        <w:t xml:space="preserve"> (BRASIL, 2000). </w:t>
      </w:r>
    </w:p>
    <w:p w:rsidR="00EA2CA3" w:rsidRDefault="00EA2CA3" w:rsidP="00EA2CA3">
      <w:pPr>
        <w:autoSpaceDE w:val="0"/>
        <w:autoSpaceDN w:val="0"/>
        <w:adjustRightInd w:val="0"/>
        <w:rPr>
          <w:rFonts w:ascii="TimesNewRoman" w:hAnsi="TimesNewRoman" w:cs="TimesNewRoman"/>
          <w:sz w:val="23"/>
          <w:szCs w:val="23"/>
        </w:rPr>
      </w:pPr>
      <w:r>
        <w:rPr>
          <w:rFonts w:cs="Times New Roman"/>
          <w:szCs w:val="24"/>
        </w:rPr>
        <w:t xml:space="preserve">Um fato interessante observado foi à presença de interdisciplinaridade com a Literatura, sendo que nos </w:t>
      </w:r>
      <w:proofErr w:type="gramStart"/>
      <w:r>
        <w:rPr>
          <w:rFonts w:cs="Times New Roman"/>
          <w:szCs w:val="24"/>
        </w:rPr>
        <w:t>3</w:t>
      </w:r>
      <w:proofErr w:type="gramEnd"/>
      <w:r>
        <w:rPr>
          <w:rFonts w:cs="Times New Roman"/>
          <w:szCs w:val="24"/>
        </w:rPr>
        <w:t xml:space="preserve"> anos do exame analisados isso só foi observado no ano de 2015. Sobre isso Brasil (2000) afirma que, “</w:t>
      </w:r>
      <w:r>
        <w:rPr>
          <w:rFonts w:ascii="TimesNewRoman" w:hAnsi="TimesNewRoman" w:cs="TimesNewRoman"/>
          <w:sz w:val="23"/>
          <w:szCs w:val="23"/>
        </w:rPr>
        <w:t>o que chama atenção, nessa sequência de elementos disciplinares e interdisciplinares, mais do que a relação entre as disciplinas da área, são as pontes com as disciplinas das outras áreas”.</w:t>
      </w:r>
    </w:p>
    <w:p w:rsidR="00EA2CA3" w:rsidRDefault="00EA2CA3" w:rsidP="00EA2CA3">
      <w:pPr>
        <w:rPr>
          <w:rFonts w:cs="Times New Roman"/>
          <w:szCs w:val="24"/>
        </w:rPr>
      </w:pPr>
      <w:r>
        <w:rPr>
          <w:rFonts w:cs="Times New Roman"/>
          <w:szCs w:val="24"/>
        </w:rPr>
        <w:t xml:space="preserve">No ano de 2016 foram identificadas quatro competências, sendo três destas as mesmas do ano anterior: </w:t>
      </w:r>
      <w:proofErr w:type="gramStart"/>
      <w:r>
        <w:rPr>
          <w:rFonts w:cs="Times New Roman"/>
          <w:szCs w:val="24"/>
        </w:rPr>
        <w:t>3</w:t>
      </w:r>
      <w:proofErr w:type="gramEnd"/>
      <w:r>
        <w:rPr>
          <w:rFonts w:cs="Times New Roman"/>
          <w:szCs w:val="24"/>
        </w:rPr>
        <w:t xml:space="preserve"> (7%), 5 (67%) e 7 (20%). Além destas, também foi identificada a Competência </w:t>
      </w:r>
      <w:proofErr w:type="gramStart"/>
      <w:r>
        <w:rPr>
          <w:rFonts w:cs="Times New Roman"/>
          <w:szCs w:val="24"/>
        </w:rPr>
        <w:t>1</w:t>
      </w:r>
      <w:proofErr w:type="gramEnd"/>
      <w:r>
        <w:rPr>
          <w:rFonts w:cs="Times New Roman"/>
          <w:szCs w:val="24"/>
        </w:rPr>
        <w:t xml:space="preserve"> (6%), que não se fez presente no exame do ano anterior e que trata da capacidade de </w:t>
      </w:r>
      <w:r w:rsidRPr="004766CC">
        <w:rPr>
          <w:rFonts w:cs="Times New Roman"/>
          <w:szCs w:val="24"/>
        </w:rPr>
        <w:t>“</w:t>
      </w:r>
      <w:r>
        <w:rPr>
          <w:rFonts w:cs="Times New Roman"/>
          <w:szCs w:val="24"/>
        </w:rPr>
        <w:t>c</w:t>
      </w:r>
      <w:r w:rsidRPr="004766CC">
        <w:rPr>
          <w:rFonts w:cs="Times New Roman"/>
          <w:szCs w:val="24"/>
        </w:rPr>
        <w:t xml:space="preserve">ompreender as ciências naturais e as tecnologias a elas </w:t>
      </w:r>
      <w:r w:rsidRPr="004766CC">
        <w:rPr>
          <w:rFonts w:cs="Times New Roman"/>
          <w:szCs w:val="24"/>
        </w:rPr>
        <w:lastRenderedPageBreak/>
        <w:t>associadas como construções humanas, percebendo seus papéis nos processos de produção e no desenvolvimento econômico e social da humanidade”</w:t>
      </w:r>
      <w:r>
        <w:rPr>
          <w:rFonts w:cs="Times New Roman"/>
          <w:szCs w:val="24"/>
        </w:rPr>
        <w:t xml:space="preserve">. </w:t>
      </w:r>
    </w:p>
    <w:p w:rsidR="00EA2CA3" w:rsidRDefault="00EA2CA3" w:rsidP="00EA2CA3">
      <w:pPr>
        <w:rPr>
          <w:rFonts w:cs="Times New Roman"/>
          <w:szCs w:val="24"/>
        </w:rPr>
      </w:pPr>
      <w:r>
        <w:rPr>
          <w:rFonts w:cs="Times New Roman"/>
          <w:szCs w:val="24"/>
        </w:rPr>
        <w:t xml:space="preserve">Assim como no ano anterior a Competência </w:t>
      </w:r>
      <w:proofErr w:type="gramStart"/>
      <w:r>
        <w:rPr>
          <w:rFonts w:cs="Times New Roman"/>
          <w:szCs w:val="24"/>
        </w:rPr>
        <w:t>5</w:t>
      </w:r>
      <w:proofErr w:type="gramEnd"/>
      <w:r>
        <w:rPr>
          <w:rFonts w:cs="Times New Roman"/>
          <w:szCs w:val="24"/>
        </w:rPr>
        <w:t xml:space="preserve"> foi a que mais se fez presente, mesmo com a presença de mais uma competência ela ainda aumentou seu percentual fazendo-se presente em quase 70% dos itens analisados (Figura 04). </w:t>
      </w:r>
    </w:p>
    <w:p w:rsidR="00EA2CA3" w:rsidRDefault="00EA2CA3" w:rsidP="00EA2CA3">
      <w:pPr>
        <w:tabs>
          <w:tab w:val="left" w:pos="1770"/>
        </w:tabs>
        <w:rPr>
          <w:rFonts w:cs="Times New Roman"/>
          <w:szCs w:val="24"/>
        </w:rPr>
      </w:pPr>
      <w:r w:rsidRPr="00B4378A">
        <w:rPr>
          <w:rFonts w:cs="Times New Roman"/>
          <w:szCs w:val="24"/>
        </w:rPr>
        <w:t xml:space="preserve">Com relação às habilidades no ano de 2016 foram identificadas </w:t>
      </w:r>
      <w:proofErr w:type="gramStart"/>
      <w:r w:rsidRPr="00B4378A">
        <w:rPr>
          <w:rFonts w:cs="Times New Roman"/>
          <w:szCs w:val="24"/>
        </w:rPr>
        <w:t>7</w:t>
      </w:r>
      <w:proofErr w:type="gramEnd"/>
      <w:r w:rsidRPr="00B4378A">
        <w:rPr>
          <w:rFonts w:cs="Times New Roman"/>
          <w:szCs w:val="24"/>
        </w:rPr>
        <w:t xml:space="preserve"> habilidades</w:t>
      </w:r>
      <w:r>
        <w:rPr>
          <w:rFonts w:cs="Times New Roman"/>
          <w:szCs w:val="24"/>
        </w:rPr>
        <w:t xml:space="preserve"> (Figura 05)</w:t>
      </w:r>
      <w:r w:rsidRPr="00B4378A">
        <w:rPr>
          <w:rFonts w:cs="Times New Roman"/>
          <w:szCs w:val="24"/>
        </w:rPr>
        <w:t xml:space="preserve">, </w:t>
      </w:r>
      <w:r>
        <w:rPr>
          <w:rFonts w:cs="Times New Roman"/>
          <w:szCs w:val="24"/>
        </w:rPr>
        <w:t xml:space="preserve">sendo elas: 03 (6,67%), </w:t>
      </w:r>
      <w:r w:rsidRPr="00B4378A">
        <w:rPr>
          <w:rFonts w:cs="Times New Roman"/>
          <w:szCs w:val="24"/>
        </w:rPr>
        <w:t>08</w:t>
      </w:r>
      <w:r>
        <w:rPr>
          <w:rFonts w:cs="Times New Roman"/>
          <w:szCs w:val="24"/>
        </w:rPr>
        <w:t xml:space="preserve"> (6,67%)</w:t>
      </w:r>
      <w:r w:rsidRPr="00B4378A">
        <w:rPr>
          <w:rFonts w:cs="Times New Roman"/>
          <w:szCs w:val="24"/>
        </w:rPr>
        <w:t>,</w:t>
      </w:r>
      <w:r>
        <w:rPr>
          <w:rFonts w:cs="Times New Roman"/>
          <w:szCs w:val="24"/>
        </w:rPr>
        <w:t xml:space="preserve"> 17 (20%), 18 (46,65%), 24 (6,67%) e 25 (6,67%).</w:t>
      </w:r>
      <w:r w:rsidRPr="00B4378A">
        <w:rPr>
          <w:rFonts w:cs="Times New Roman"/>
          <w:szCs w:val="24"/>
        </w:rPr>
        <w:t xml:space="preserve"> </w:t>
      </w:r>
    </w:p>
    <w:p w:rsidR="00EA2CA3" w:rsidRDefault="00EA2CA3" w:rsidP="00EA2CA3">
      <w:pPr>
        <w:rPr>
          <w:rFonts w:cs="Times New Roman"/>
          <w:szCs w:val="24"/>
        </w:rPr>
      </w:pPr>
      <w:r w:rsidRPr="00E354C7">
        <w:rPr>
          <w:rFonts w:cs="Times New Roman"/>
          <w:szCs w:val="24"/>
        </w:rPr>
        <w:t xml:space="preserve">Na </w:t>
      </w:r>
      <w:r>
        <w:rPr>
          <w:rFonts w:cs="Times New Roman"/>
          <w:szCs w:val="24"/>
        </w:rPr>
        <w:t>análise sobre interdisciplinaridade no ENEM de 2016 foi encontrado interdisciplinaridade com cinco disciplinas: Biologia, Matemática, Física, Filosofia e História, sendo que, como no ano anterior, Biologia e Matemática foram as que mais se fizeram presentes. A novidade foi à interdisciplinaridade com a História e a Filosofia, que não são da área, enquanto no ano anterior só teve a Literatura como interdisciplinaridade de uma área que não seja das ciências exatas. Um índice que permaneceu constante foi à ausência de interdisciplinaridade, assim como no ano anterior, 2015, pois em 17% das questões não foi identificada a presença de interdisciplinaridade com outras áreas de estudo, como pode ser visto na Figura 02.</w:t>
      </w:r>
    </w:p>
    <w:p w:rsidR="00EA2CA3" w:rsidRDefault="00EA2CA3" w:rsidP="00EA2CA3">
      <w:pPr>
        <w:spacing w:line="240" w:lineRule="auto"/>
        <w:ind w:left="993"/>
        <w:rPr>
          <w:rFonts w:cs="Times New Roman"/>
          <w:szCs w:val="24"/>
        </w:rPr>
      </w:pPr>
      <w:r>
        <w:rPr>
          <w:rFonts w:cs="Times New Roman"/>
          <w:b/>
          <w:szCs w:val="24"/>
        </w:rPr>
        <w:t>Figura 02-</w:t>
      </w:r>
      <w:r>
        <w:rPr>
          <w:rFonts w:cs="Times New Roman"/>
          <w:szCs w:val="24"/>
        </w:rPr>
        <w:t>Interdisciplinaridade do ENEM 2016.</w:t>
      </w:r>
    </w:p>
    <w:p w:rsidR="00EA2CA3" w:rsidRPr="00501A19" w:rsidRDefault="00EA2CA3" w:rsidP="00EA2CA3">
      <w:pPr>
        <w:spacing w:line="240" w:lineRule="auto"/>
        <w:jc w:val="center"/>
        <w:rPr>
          <w:rFonts w:cs="Times New Roman"/>
          <w:szCs w:val="24"/>
        </w:rPr>
      </w:pPr>
      <w:r>
        <w:rPr>
          <w:noProof/>
          <w:lang w:eastAsia="pt-BR"/>
        </w:rPr>
        <w:drawing>
          <wp:anchor distT="0" distB="0" distL="114300" distR="114300" simplePos="0" relativeHeight="251659264" behindDoc="1" locked="0" layoutInCell="1" allowOverlap="1" wp14:anchorId="0BEA1FBD" wp14:editId="2FD05DAB">
            <wp:simplePos x="0" y="0"/>
            <wp:positionH relativeFrom="column">
              <wp:posOffset>958215</wp:posOffset>
            </wp:positionH>
            <wp:positionV relativeFrom="paragraph">
              <wp:posOffset>46990</wp:posOffset>
            </wp:positionV>
            <wp:extent cx="3248025" cy="1543050"/>
            <wp:effectExtent l="0" t="0" r="9525" b="0"/>
            <wp:wrapNone/>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EA2CA3" w:rsidRDefault="00EA2CA3" w:rsidP="00EA2CA3">
      <w:pPr>
        <w:spacing w:line="240" w:lineRule="auto"/>
        <w:ind w:left="993"/>
        <w:rPr>
          <w:rFonts w:cs="Times New Roman"/>
          <w:b/>
          <w:sz w:val="20"/>
          <w:szCs w:val="20"/>
        </w:rPr>
      </w:pPr>
    </w:p>
    <w:p w:rsidR="00EA2CA3" w:rsidRDefault="00EA2CA3" w:rsidP="00EA2CA3">
      <w:pPr>
        <w:spacing w:line="240" w:lineRule="auto"/>
        <w:ind w:left="993"/>
        <w:rPr>
          <w:rFonts w:cs="Times New Roman"/>
          <w:b/>
          <w:sz w:val="20"/>
          <w:szCs w:val="20"/>
        </w:rPr>
      </w:pPr>
    </w:p>
    <w:p w:rsidR="00EA2CA3" w:rsidRDefault="00EA2CA3" w:rsidP="00EA2CA3">
      <w:pPr>
        <w:spacing w:line="240" w:lineRule="auto"/>
        <w:ind w:left="993"/>
        <w:rPr>
          <w:rFonts w:cs="Times New Roman"/>
          <w:b/>
          <w:sz w:val="20"/>
          <w:szCs w:val="20"/>
        </w:rPr>
      </w:pPr>
    </w:p>
    <w:p w:rsidR="00EA2CA3" w:rsidRDefault="00EA2CA3" w:rsidP="00EA2CA3">
      <w:pPr>
        <w:spacing w:line="240" w:lineRule="auto"/>
        <w:ind w:left="993"/>
        <w:rPr>
          <w:rFonts w:cs="Times New Roman"/>
          <w:b/>
          <w:sz w:val="20"/>
          <w:szCs w:val="20"/>
        </w:rPr>
      </w:pPr>
    </w:p>
    <w:p w:rsidR="00EA2CA3" w:rsidRDefault="00EA2CA3" w:rsidP="00EA2CA3">
      <w:pPr>
        <w:spacing w:line="240" w:lineRule="auto"/>
        <w:ind w:left="993"/>
        <w:rPr>
          <w:rFonts w:cs="Times New Roman"/>
          <w:b/>
          <w:sz w:val="20"/>
          <w:szCs w:val="20"/>
        </w:rPr>
      </w:pPr>
    </w:p>
    <w:p w:rsidR="00EA2CA3" w:rsidRDefault="00EA2CA3" w:rsidP="00EA2CA3">
      <w:pPr>
        <w:spacing w:line="240" w:lineRule="auto"/>
        <w:ind w:left="993"/>
        <w:rPr>
          <w:rFonts w:cs="Times New Roman"/>
          <w:b/>
          <w:sz w:val="20"/>
          <w:szCs w:val="20"/>
        </w:rPr>
      </w:pPr>
    </w:p>
    <w:p w:rsidR="00EA2CA3" w:rsidRDefault="00EA2CA3" w:rsidP="00EA2CA3">
      <w:pPr>
        <w:spacing w:line="240" w:lineRule="auto"/>
        <w:ind w:left="993"/>
        <w:rPr>
          <w:rFonts w:cs="Times New Roman"/>
          <w:b/>
          <w:sz w:val="20"/>
          <w:szCs w:val="20"/>
        </w:rPr>
      </w:pPr>
    </w:p>
    <w:p w:rsidR="00EA2CA3" w:rsidRDefault="00EA2CA3" w:rsidP="00EA2CA3">
      <w:pPr>
        <w:spacing w:line="240" w:lineRule="auto"/>
        <w:ind w:left="993"/>
        <w:rPr>
          <w:rFonts w:cs="Times New Roman"/>
          <w:b/>
          <w:sz w:val="20"/>
          <w:szCs w:val="20"/>
        </w:rPr>
      </w:pPr>
    </w:p>
    <w:p w:rsidR="00EA2CA3" w:rsidRDefault="00EA2CA3" w:rsidP="00EA2CA3">
      <w:pPr>
        <w:spacing w:line="240" w:lineRule="auto"/>
        <w:ind w:left="993"/>
        <w:rPr>
          <w:rFonts w:cs="Times New Roman"/>
          <w:b/>
          <w:sz w:val="20"/>
          <w:szCs w:val="20"/>
        </w:rPr>
      </w:pPr>
    </w:p>
    <w:p w:rsidR="00EA2CA3" w:rsidRDefault="00EA2CA3" w:rsidP="00EA2CA3">
      <w:pPr>
        <w:spacing w:line="240" w:lineRule="auto"/>
        <w:ind w:left="993"/>
        <w:rPr>
          <w:rFonts w:cs="Times New Roman"/>
          <w:b/>
          <w:sz w:val="20"/>
          <w:szCs w:val="20"/>
        </w:rPr>
      </w:pPr>
    </w:p>
    <w:p w:rsidR="00EA2CA3" w:rsidRDefault="00EA2CA3" w:rsidP="00EA2CA3">
      <w:pPr>
        <w:spacing w:line="240" w:lineRule="auto"/>
        <w:ind w:left="993"/>
        <w:rPr>
          <w:rFonts w:cs="Times New Roman"/>
          <w:szCs w:val="24"/>
        </w:rPr>
      </w:pPr>
      <w:r>
        <w:rPr>
          <w:rFonts w:cs="Times New Roman"/>
          <w:b/>
          <w:sz w:val="20"/>
          <w:szCs w:val="20"/>
        </w:rPr>
        <w:t>Fonte:</w:t>
      </w:r>
      <w:r w:rsidRPr="00E9415F">
        <w:rPr>
          <w:rFonts w:cs="Times New Roman"/>
          <w:sz w:val="20"/>
          <w:szCs w:val="24"/>
        </w:rPr>
        <w:t xml:space="preserve"> Própria</w:t>
      </w:r>
      <w:r>
        <w:rPr>
          <w:rFonts w:cs="Times New Roman"/>
          <w:b/>
          <w:sz w:val="20"/>
          <w:szCs w:val="24"/>
        </w:rPr>
        <w:t xml:space="preserve"> </w:t>
      </w:r>
      <w:r>
        <w:rPr>
          <w:rFonts w:cs="Times New Roman"/>
          <w:sz w:val="20"/>
          <w:szCs w:val="24"/>
        </w:rPr>
        <w:t>(2018)</w:t>
      </w:r>
    </w:p>
    <w:p w:rsidR="00EA2CA3" w:rsidRDefault="00EA2CA3" w:rsidP="00EA2CA3">
      <w:pPr>
        <w:rPr>
          <w:rFonts w:cs="Times New Roman"/>
          <w:szCs w:val="24"/>
        </w:rPr>
      </w:pPr>
    </w:p>
    <w:p w:rsidR="00EA2CA3" w:rsidRDefault="00EA2CA3" w:rsidP="00EA2CA3">
      <w:pPr>
        <w:rPr>
          <w:rFonts w:cs="Times New Roman"/>
          <w:sz w:val="20"/>
          <w:szCs w:val="24"/>
        </w:rPr>
      </w:pPr>
      <w:r>
        <w:rPr>
          <w:rFonts w:cs="Times New Roman"/>
          <w:szCs w:val="24"/>
        </w:rPr>
        <w:t xml:space="preserve">No último ano de aplicação do ENEM, 2017, foram identificadas três competências, e dentre elas, novamente as Competências </w:t>
      </w:r>
      <w:proofErr w:type="gramStart"/>
      <w:r>
        <w:rPr>
          <w:rFonts w:cs="Times New Roman"/>
          <w:szCs w:val="24"/>
        </w:rPr>
        <w:t>7</w:t>
      </w:r>
      <w:proofErr w:type="gramEnd"/>
      <w:r>
        <w:rPr>
          <w:rFonts w:cs="Times New Roman"/>
          <w:szCs w:val="24"/>
        </w:rPr>
        <w:t xml:space="preserve"> (53%) e 5 (40%) foram as que mais se fizeram presentes, com o diferencial que neste ano a Competência 7 esteve presente em um percentual maior que a Competência 5. A terceira competência foi a Competência </w:t>
      </w:r>
      <w:proofErr w:type="gramStart"/>
      <w:r>
        <w:rPr>
          <w:rFonts w:cs="Times New Roman"/>
          <w:szCs w:val="24"/>
        </w:rPr>
        <w:t>1</w:t>
      </w:r>
      <w:proofErr w:type="gramEnd"/>
      <w:r>
        <w:rPr>
          <w:rFonts w:cs="Times New Roman"/>
          <w:szCs w:val="24"/>
        </w:rPr>
        <w:t xml:space="preserve"> (7%) que também pode ser identificada no ENEM de 2016, vale ressaltar que o este foi o único ano do período analisado que teve a presença de mais de três competências.</w:t>
      </w:r>
    </w:p>
    <w:p w:rsidR="00EA2CA3" w:rsidRDefault="00EA2CA3" w:rsidP="00EA2CA3">
      <w:pPr>
        <w:rPr>
          <w:rFonts w:cs="Times New Roman"/>
          <w:szCs w:val="24"/>
        </w:rPr>
      </w:pPr>
      <w:r>
        <w:rPr>
          <w:rFonts w:cs="Times New Roman"/>
          <w:szCs w:val="24"/>
        </w:rPr>
        <w:lastRenderedPageBreak/>
        <w:t xml:space="preserve">No ano de 2017 foram identificadas </w:t>
      </w:r>
      <w:proofErr w:type="gramStart"/>
      <w:r>
        <w:rPr>
          <w:rFonts w:cs="Times New Roman"/>
          <w:szCs w:val="24"/>
        </w:rPr>
        <w:t>6</w:t>
      </w:r>
      <w:proofErr w:type="gramEnd"/>
      <w:r>
        <w:rPr>
          <w:rFonts w:cs="Times New Roman"/>
          <w:szCs w:val="24"/>
        </w:rPr>
        <w:t xml:space="preserve"> habilidades, assim como nos anos anteriores as Habilidades 17 (13,33%), 18 (26,67%), 24 (33,33%) e 27 (6,67%) também foram identificadas. As Habilidades </w:t>
      </w:r>
      <w:proofErr w:type="gramStart"/>
      <w:r>
        <w:rPr>
          <w:rFonts w:cs="Times New Roman"/>
          <w:szCs w:val="24"/>
        </w:rPr>
        <w:t>1</w:t>
      </w:r>
      <w:proofErr w:type="gramEnd"/>
      <w:r>
        <w:rPr>
          <w:rFonts w:cs="Times New Roman"/>
          <w:szCs w:val="24"/>
        </w:rPr>
        <w:t xml:space="preserve"> (6,67%) e 26 (13,33%) foram identificadas apenas nessa edição do exame. Sendo assim, as que mais apareceram nas questões do ano de 2017 foram as Habilidades 24 e 18.</w:t>
      </w:r>
    </w:p>
    <w:p w:rsidR="00EA2CA3" w:rsidRDefault="00EA2CA3" w:rsidP="00EA2CA3">
      <w:pPr>
        <w:rPr>
          <w:rFonts w:cs="Times New Roman"/>
          <w:szCs w:val="24"/>
        </w:rPr>
      </w:pPr>
      <w:r>
        <w:rPr>
          <w:rFonts w:cs="Times New Roman"/>
          <w:szCs w:val="24"/>
        </w:rPr>
        <w:t xml:space="preserve">No ENEM de 2017 foi notada algumas mudanças com relação </w:t>
      </w:r>
      <w:proofErr w:type="gramStart"/>
      <w:r>
        <w:rPr>
          <w:rFonts w:cs="Times New Roman"/>
          <w:szCs w:val="24"/>
        </w:rPr>
        <w:t>a</w:t>
      </w:r>
      <w:proofErr w:type="gramEnd"/>
      <w:r>
        <w:rPr>
          <w:rFonts w:cs="Times New Roman"/>
          <w:szCs w:val="24"/>
        </w:rPr>
        <w:t xml:space="preserve"> interdisciplinaridade (Figura 03), pois mesmo mantendo a interdisciplinaridade com áreas afins como a Biologia, a Matemática e a Física, não houve interdisciplinaridades com outras áreas de estudos distintas as das ciências exatas, bem como houve um aumento significativo do percentual de questões em que não foi possível identificar interdisciplinaridade, enquanto nos anos anteriores analisados o percentual observado foi de 17%, no ano de 2017 subiu para 33%, quase o dobro.  </w:t>
      </w:r>
    </w:p>
    <w:p w:rsidR="00EA2CA3" w:rsidRDefault="00EA2CA3" w:rsidP="00EA2CA3">
      <w:pPr>
        <w:spacing w:line="240" w:lineRule="auto"/>
        <w:ind w:left="993"/>
        <w:rPr>
          <w:rFonts w:cs="Times New Roman"/>
          <w:szCs w:val="24"/>
        </w:rPr>
      </w:pPr>
      <w:r>
        <w:rPr>
          <w:rFonts w:cs="Times New Roman"/>
          <w:b/>
          <w:szCs w:val="24"/>
        </w:rPr>
        <w:t xml:space="preserve">       </w:t>
      </w:r>
      <w:r w:rsidRPr="00B04B9A">
        <w:rPr>
          <w:rFonts w:cs="Times New Roman"/>
          <w:b/>
          <w:szCs w:val="24"/>
        </w:rPr>
        <w:t>Figura 0</w:t>
      </w:r>
      <w:r>
        <w:rPr>
          <w:rFonts w:cs="Times New Roman"/>
          <w:b/>
          <w:szCs w:val="24"/>
        </w:rPr>
        <w:t>3-</w:t>
      </w:r>
      <w:r>
        <w:rPr>
          <w:rFonts w:cs="Times New Roman"/>
          <w:szCs w:val="24"/>
        </w:rPr>
        <w:t>Interdisciplinaridade do ENEM 2017.</w:t>
      </w:r>
    </w:p>
    <w:p w:rsidR="00EA2CA3" w:rsidRPr="00DF04D2" w:rsidRDefault="00EA2CA3" w:rsidP="00EA2CA3">
      <w:pPr>
        <w:spacing w:line="240" w:lineRule="auto"/>
        <w:jc w:val="center"/>
        <w:rPr>
          <w:rFonts w:cs="Times New Roman"/>
          <w:szCs w:val="24"/>
        </w:rPr>
      </w:pPr>
      <w:r>
        <w:rPr>
          <w:noProof/>
          <w:lang w:eastAsia="pt-BR"/>
        </w:rPr>
        <w:drawing>
          <wp:inline distT="0" distB="0" distL="0" distR="0" wp14:anchorId="67A631F3" wp14:editId="6DD72665">
            <wp:extent cx="3124200" cy="1781175"/>
            <wp:effectExtent l="0" t="0" r="0" b="952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A2CA3" w:rsidRDefault="00EA2CA3" w:rsidP="00EA2CA3">
      <w:pPr>
        <w:spacing w:line="240" w:lineRule="auto"/>
        <w:ind w:left="993"/>
        <w:rPr>
          <w:rFonts w:cs="Times New Roman"/>
          <w:sz w:val="20"/>
          <w:szCs w:val="24"/>
        </w:rPr>
      </w:pPr>
      <w:r>
        <w:rPr>
          <w:rFonts w:cs="Times New Roman"/>
          <w:b/>
          <w:sz w:val="20"/>
          <w:szCs w:val="24"/>
        </w:rPr>
        <w:t xml:space="preserve">         Fonte:</w:t>
      </w:r>
      <w:r w:rsidRPr="00E9415F">
        <w:rPr>
          <w:rFonts w:cs="Times New Roman"/>
          <w:sz w:val="20"/>
          <w:szCs w:val="24"/>
        </w:rPr>
        <w:t xml:space="preserve"> Própria</w:t>
      </w:r>
      <w:r>
        <w:rPr>
          <w:rFonts w:cs="Times New Roman"/>
          <w:b/>
          <w:sz w:val="20"/>
          <w:szCs w:val="24"/>
        </w:rPr>
        <w:t xml:space="preserve"> </w:t>
      </w:r>
      <w:r>
        <w:rPr>
          <w:rFonts w:cs="Times New Roman"/>
          <w:sz w:val="20"/>
          <w:szCs w:val="24"/>
        </w:rPr>
        <w:t>(2018)</w:t>
      </w:r>
    </w:p>
    <w:p w:rsidR="00EA2CA3" w:rsidRDefault="00EA2CA3" w:rsidP="00EA2CA3">
      <w:pPr>
        <w:spacing w:line="240" w:lineRule="auto"/>
        <w:ind w:left="993"/>
        <w:rPr>
          <w:rFonts w:cs="Times New Roman"/>
          <w:sz w:val="20"/>
          <w:szCs w:val="24"/>
        </w:rPr>
      </w:pPr>
    </w:p>
    <w:p w:rsidR="00EA2CA3" w:rsidRDefault="00EA2CA3" w:rsidP="00EA2CA3">
      <w:pPr>
        <w:rPr>
          <w:rFonts w:cs="Times New Roman"/>
          <w:szCs w:val="24"/>
        </w:rPr>
      </w:pPr>
      <w:r w:rsidRPr="007B60B5">
        <w:rPr>
          <w:rFonts w:cs="Times New Roman"/>
          <w:szCs w:val="24"/>
        </w:rPr>
        <w:t>Além</w:t>
      </w:r>
      <w:r>
        <w:rPr>
          <w:rFonts w:cs="Times New Roman"/>
          <w:szCs w:val="24"/>
        </w:rPr>
        <w:t xml:space="preserve"> das competências e habilidades e a interdisciplinaridade, foram analisadas nas questões, as temáticas envolvidas, ou seja, de qual conteúdo era preciso ter conhecimento para resolvê-las. </w:t>
      </w:r>
    </w:p>
    <w:p w:rsidR="00EA2CA3" w:rsidRDefault="00EA2CA3" w:rsidP="00EA2CA3">
      <w:pPr>
        <w:rPr>
          <w:rFonts w:cs="Times New Roman"/>
          <w:szCs w:val="24"/>
        </w:rPr>
      </w:pPr>
      <w:r>
        <w:rPr>
          <w:rFonts w:cs="Times New Roman"/>
          <w:szCs w:val="24"/>
        </w:rPr>
        <w:t xml:space="preserve">No ano de 2015 foram identificadas 12 temáticas: </w:t>
      </w:r>
      <w:r w:rsidRPr="00B00F3B">
        <w:rPr>
          <w:rFonts w:cs="Times New Roman"/>
          <w:szCs w:val="24"/>
        </w:rPr>
        <w:t>Equilíbrio químico</w:t>
      </w:r>
      <w:r>
        <w:rPr>
          <w:rFonts w:cs="Times New Roman"/>
          <w:szCs w:val="24"/>
        </w:rPr>
        <w:t xml:space="preserve">, Separação de misturas, Solubilidade, Cálculos estequiométricos, Funções orgânicas, Transformações químicas, Compostos inorgânicos: óxidos, Constante de equilíbrio, Radioatividade, Química e meio ambiente, </w:t>
      </w:r>
      <w:r w:rsidRPr="00B00F3B">
        <w:rPr>
          <w:rFonts w:cs="Times New Roman"/>
          <w:szCs w:val="24"/>
        </w:rPr>
        <w:t>Potencial padrão de redu</w:t>
      </w:r>
      <w:r>
        <w:rPr>
          <w:rFonts w:cs="Times New Roman"/>
          <w:szCs w:val="24"/>
        </w:rPr>
        <w:t>ção e Entalpia, apenas três apareceram em mais de uma questão, Química e meio ambiente, Transformações químicas e Cálculos estequiométricos, que foram identificadas em duas questões cada.</w:t>
      </w:r>
    </w:p>
    <w:p w:rsidR="00EA2CA3" w:rsidRDefault="00EA2CA3" w:rsidP="00EA2CA3">
      <w:pPr>
        <w:rPr>
          <w:rFonts w:cs="Times New Roman"/>
          <w:szCs w:val="24"/>
        </w:rPr>
      </w:pPr>
      <w:r>
        <w:rPr>
          <w:rFonts w:cs="Times New Roman"/>
          <w:szCs w:val="24"/>
        </w:rPr>
        <w:t xml:space="preserve">Em 2016 foram identificadas 11 temáticas: Solubilidade, Soluções, Cálculos estequiométricos, Forças intermoleculares, Potencial padrão de redução, Propriedades da matéria, Radioatividade, Separação de misturas, Funções orgânicas, Equilíbrio </w:t>
      </w:r>
      <w:r>
        <w:rPr>
          <w:rFonts w:cs="Times New Roman"/>
          <w:szCs w:val="24"/>
        </w:rPr>
        <w:lastRenderedPageBreak/>
        <w:t xml:space="preserve">químico e </w:t>
      </w:r>
      <w:r w:rsidRPr="00E8452E">
        <w:rPr>
          <w:rFonts w:cs="Times New Roman"/>
          <w:szCs w:val="24"/>
        </w:rPr>
        <w:t>Nomenclatura</w:t>
      </w:r>
      <w:r>
        <w:rPr>
          <w:rFonts w:cs="Times New Roman"/>
          <w:szCs w:val="24"/>
        </w:rPr>
        <w:t>, foram identificadas em mais de uma questão as temáticas: Solubilidade, Cálculos estequiométricos, Propriedades da matéria e Nomenclatura.</w:t>
      </w:r>
    </w:p>
    <w:p w:rsidR="00EA2CA3" w:rsidRDefault="00EA2CA3" w:rsidP="00EA2CA3">
      <w:pPr>
        <w:rPr>
          <w:rFonts w:cs="Times New Roman"/>
          <w:szCs w:val="24"/>
        </w:rPr>
      </w:pPr>
      <w:r>
        <w:rPr>
          <w:rFonts w:cs="Times New Roman"/>
          <w:szCs w:val="24"/>
        </w:rPr>
        <w:t xml:space="preserve">Em 2017 foram identificadas 12 temáticas: Modelos atômicos, Gases, Química do solo, Materiais fosseis, Potencial padrão de redução, Transformações químicas, Cálculos estequiométricos, Transformações químicas, Forças intermoleculares, Radioatividade, Solubilidade e Nomenclatura, foi identificada em mais de uma questão apenas a temática: Transformações químicas. </w:t>
      </w:r>
    </w:p>
    <w:p w:rsidR="00EA2CA3" w:rsidRDefault="00EA2CA3" w:rsidP="00EA2CA3">
      <w:pPr>
        <w:rPr>
          <w:rFonts w:cs="Times New Roman"/>
          <w:szCs w:val="24"/>
        </w:rPr>
      </w:pPr>
      <w:r>
        <w:rPr>
          <w:rFonts w:cs="Times New Roman"/>
          <w:szCs w:val="24"/>
        </w:rPr>
        <w:t xml:space="preserve">É possível notar que as temáticas: Solubilidade, Cálculos estequiométricos, Radioatividade e Potencial padrão de redução estiveram presentes em todos os anos de aplicação da prova em que a análise foi feita. </w:t>
      </w:r>
    </w:p>
    <w:p w:rsidR="00EA2CA3" w:rsidRDefault="00EA2CA3" w:rsidP="00EA2CA3">
      <w:pPr>
        <w:rPr>
          <w:rFonts w:cs="Times New Roman"/>
          <w:szCs w:val="24"/>
        </w:rPr>
      </w:pPr>
      <w:r>
        <w:rPr>
          <w:rFonts w:cs="Times New Roman"/>
          <w:szCs w:val="24"/>
        </w:rPr>
        <w:t xml:space="preserve">As temáticas que mais apareceram nos três anos analisados foram: Cálculos estequiométricos, Nomenclatura, Potencial padrão de redução, Radioatividade, Solubilidade e Transformações químicas, representando mais de 50% do total de 45 questões analisadas, como pode ser </w:t>
      </w:r>
      <w:proofErr w:type="gramStart"/>
      <w:r>
        <w:rPr>
          <w:rFonts w:cs="Times New Roman"/>
          <w:szCs w:val="24"/>
        </w:rPr>
        <w:t>visto</w:t>
      </w:r>
      <w:proofErr w:type="gramEnd"/>
      <w:r>
        <w:rPr>
          <w:rFonts w:cs="Times New Roman"/>
          <w:szCs w:val="24"/>
        </w:rPr>
        <w:t xml:space="preserve"> na Figura 04.</w:t>
      </w:r>
    </w:p>
    <w:p w:rsidR="00EA2CA3" w:rsidRDefault="00EA2CA3" w:rsidP="00EA2CA3">
      <w:pPr>
        <w:spacing w:line="240" w:lineRule="auto"/>
        <w:rPr>
          <w:rFonts w:cs="Times New Roman"/>
          <w:b/>
          <w:szCs w:val="24"/>
        </w:rPr>
      </w:pPr>
    </w:p>
    <w:p w:rsidR="00EA2CA3" w:rsidRDefault="00EA2CA3" w:rsidP="00EA2CA3">
      <w:pPr>
        <w:spacing w:line="240" w:lineRule="auto"/>
        <w:rPr>
          <w:rFonts w:cs="Times New Roman"/>
          <w:szCs w:val="24"/>
        </w:rPr>
      </w:pPr>
      <w:r>
        <w:rPr>
          <w:rFonts w:cs="Times New Roman"/>
          <w:b/>
          <w:szCs w:val="24"/>
        </w:rPr>
        <w:t xml:space="preserve">Figura 04 </w:t>
      </w:r>
      <w:r>
        <w:rPr>
          <w:rFonts w:cs="Times New Roman"/>
          <w:szCs w:val="24"/>
        </w:rPr>
        <w:t xml:space="preserve">- </w:t>
      </w:r>
      <w:proofErr w:type="gramStart"/>
      <w:r>
        <w:rPr>
          <w:rFonts w:cs="Times New Roman"/>
          <w:szCs w:val="24"/>
        </w:rPr>
        <w:t>Conteúdos envolvidas nas questões do ENEM do último triênio</w:t>
      </w:r>
      <w:proofErr w:type="gramEnd"/>
      <w:r>
        <w:rPr>
          <w:rFonts w:cs="Times New Roman"/>
          <w:szCs w:val="24"/>
        </w:rPr>
        <w:t>.</w:t>
      </w:r>
    </w:p>
    <w:p w:rsidR="00EA2CA3" w:rsidRDefault="00EA2CA3" w:rsidP="00EA2CA3">
      <w:pPr>
        <w:spacing w:line="240" w:lineRule="auto"/>
        <w:jc w:val="center"/>
        <w:rPr>
          <w:rFonts w:cs="Times New Roman"/>
          <w:szCs w:val="24"/>
        </w:rPr>
      </w:pPr>
      <w:r>
        <w:rPr>
          <w:noProof/>
          <w:lang w:eastAsia="pt-BR"/>
        </w:rPr>
        <w:drawing>
          <wp:inline distT="0" distB="0" distL="0" distR="0" wp14:anchorId="71E8D8D7" wp14:editId="0CD39C61">
            <wp:extent cx="4972050" cy="1647825"/>
            <wp:effectExtent l="0" t="0" r="0"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A2CA3" w:rsidRPr="0020623A" w:rsidRDefault="00EA2CA3" w:rsidP="00EA2CA3">
      <w:pPr>
        <w:spacing w:line="240" w:lineRule="auto"/>
        <w:ind w:firstLine="0"/>
        <w:rPr>
          <w:rFonts w:cs="Times New Roman"/>
          <w:sz w:val="20"/>
          <w:szCs w:val="24"/>
        </w:rPr>
      </w:pPr>
      <w:r>
        <w:rPr>
          <w:rFonts w:cs="Times New Roman"/>
          <w:b/>
          <w:sz w:val="20"/>
          <w:szCs w:val="24"/>
        </w:rPr>
        <w:t xml:space="preserve">              </w:t>
      </w:r>
      <w:r w:rsidRPr="0020623A">
        <w:rPr>
          <w:rFonts w:cs="Times New Roman"/>
          <w:b/>
          <w:sz w:val="20"/>
          <w:szCs w:val="24"/>
        </w:rPr>
        <w:t>Fonte:</w:t>
      </w:r>
      <w:r w:rsidRPr="00E9415F">
        <w:rPr>
          <w:rFonts w:cs="Times New Roman"/>
          <w:sz w:val="20"/>
          <w:szCs w:val="24"/>
        </w:rPr>
        <w:t xml:space="preserve"> Própria</w:t>
      </w:r>
      <w:r>
        <w:rPr>
          <w:rFonts w:cs="Times New Roman"/>
          <w:b/>
          <w:sz w:val="20"/>
          <w:szCs w:val="24"/>
        </w:rPr>
        <w:t xml:space="preserve"> </w:t>
      </w:r>
      <w:r>
        <w:rPr>
          <w:rFonts w:cs="Times New Roman"/>
          <w:sz w:val="20"/>
          <w:szCs w:val="24"/>
        </w:rPr>
        <w:t>(2018)</w:t>
      </w:r>
    </w:p>
    <w:p w:rsidR="00EA2CA3" w:rsidRDefault="00EA2CA3" w:rsidP="00EA2CA3">
      <w:pPr>
        <w:rPr>
          <w:rFonts w:cs="Times New Roman"/>
          <w:szCs w:val="24"/>
        </w:rPr>
      </w:pPr>
    </w:p>
    <w:p w:rsidR="00EA2CA3" w:rsidRDefault="00EA2CA3" w:rsidP="00EA2CA3">
      <w:pPr>
        <w:rPr>
          <w:rFonts w:cs="Times New Roman"/>
          <w:szCs w:val="24"/>
        </w:rPr>
      </w:pPr>
      <w:r>
        <w:rPr>
          <w:rFonts w:cs="Times New Roman"/>
          <w:szCs w:val="24"/>
        </w:rPr>
        <w:t>Todas as temáticas envolvidas nas questões analisadas estão presentes nos nove temas estruturadores proposto pelo PCNEM. De uma forma geral, l</w:t>
      </w:r>
      <w:r w:rsidRPr="00DD20FB">
        <w:rPr>
          <w:rFonts w:cs="Times New Roman"/>
          <w:szCs w:val="24"/>
        </w:rPr>
        <w:t xml:space="preserve">evando </w:t>
      </w:r>
      <w:r>
        <w:rPr>
          <w:rFonts w:cs="Times New Roman"/>
          <w:szCs w:val="24"/>
        </w:rPr>
        <w:t xml:space="preserve">em consideração o último triênio foram identificadas quatro competências: Competência </w:t>
      </w:r>
      <w:proofErr w:type="gramStart"/>
      <w:r>
        <w:rPr>
          <w:rFonts w:cs="Times New Roman"/>
          <w:szCs w:val="24"/>
        </w:rPr>
        <w:t>1</w:t>
      </w:r>
      <w:proofErr w:type="gramEnd"/>
      <w:r>
        <w:rPr>
          <w:rFonts w:cs="Times New Roman"/>
          <w:szCs w:val="24"/>
        </w:rPr>
        <w:t xml:space="preserve">, Competência 3, Competência 5 e Competência 7, sendo as Competências 5 e 7 as que mais foram cobradas nas questões, respectivamente (Figura 05). </w:t>
      </w:r>
    </w:p>
    <w:p w:rsidR="00EA2CA3" w:rsidRDefault="00EA2CA3" w:rsidP="00EA2CA3">
      <w:pPr>
        <w:rPr>
          <w:rFonts w:cs="Times New Roman"/>
          <w:szCs w:val="24"/>
        </w:rPr>
      </w:pPr>
    </w:p>
    <w:p w:rsidR="00EA2CA3" w:rsidRDefault="00EA2CA3" w:rsidP="00EA2CA3">
      <w:pPr>
        <w:rPr>
          <w:rFonts w:cs="Times New Roman"/>
          <w:szCs w:val="24"/>
        </w:rPr>
      </w:pPr>
    </w:p>
    <w:p w:rsidR="00EA2CA3" w:rsidRDefault="00EA2CA3" w:rsidP="00EA2CA3">
      <w:pPr>
        <w:rPr>
          <w:rFonts w:cs="Times New Roman"/>
          <w:szCs w:val="24"/>
        </w:rPr>
      </w:pPr>
    </w:p>
    <w:p w:rsidR="00EA2CA3" w:rsidRDefault="00EA2CA3" w:rsidP="00EA2CA3">
      <w:pPr>
        <w:rPr>
          <w:rFonts w:cs="Times New Roman"/>
          <w:szCs w:val="24"/>
        </w:rPr>
      </w:pPr>
    </w:p>
    <w:p w:rsidR="00EA2CA3" w:rsidRDefault="00EA2CA3" w:rsidP="00EA2CA3">
      <w:pPr>
        <w:rPr>
          <w:rFonts w:cs="Times New Roman"/>
          <w:szCs w:val="24"/>
        </w:rPr>
      </w:pPr>
    </w:p>
    <w:p w:rsidR="00EA2CA3" w:rsidRDefault="00EA2CA3" w:rsidP="00EA2CA3">
      <w:pPr>
        <w:spacing w:line="240" w:lineRule="auto"/>
        <w:ind w:left="993"/>
        <w:rPr>
          <w:rFonts w:cs="Times New Roman"/>
          <w:szCs w:val="24"/>
        </w:rPr>
      </w:pPr>
      <w:r>
        <w:rPr>
          <w:rFonts w:cs="Times New Roman"/>
          <w:b/>
          <w:szCs w:val="24"/>
        </w:rPr>
        <w:lastRenderedPageBreak/>
        <w:t xml:space="preserve">       </w:t>
      </w:r>
      <w:r w:rsidRPr="00F967B2">
        <w:rPr>
          <w:rFonts w:cs="Times New Roman"/>
          <w:b/>
          <w:szCs w:val="24"/>
        </w:rPr>
        <w:t xml:space="preserve">Figura </w:t>
      </w:r>
      <w:r>
        <w:rPr>
          <w:rFonts w:cs="Times New Roman"/>
          <w:b/>
          <w:szCs w:val="24"/>
        </w:rPr>
        <w:t>05</w:t>
      </w:r>
      <w:r>
        <w:rPr>
          <w:rFonts w:cs="Times New Roman"/>
          <w:szCs w:val="24"/>
        </w:rPr>
        <w:t>- Competências do último triênio do ENEM.</w:t>
      </w:r>
    </w:p>
    <w:p w:rsidR="00EA2CA3" w:rsidRDefault="00EA2CA3" w:rsidP="00EA2CA3">
      <w:pPr>
        <w:spacing w:line="240" w:lineRule="auto"/>
        <w:jc w:val="center"/>
        <w:rPr>
          <w:rFonts w:cs="Times New Roman"/>
          <w:szCs w:val="24"/>
        </w:rPr>
      </w:pPr>
      <w:r>
        <w:rPr>
          <w:noProof/>
          <w:lang w:eastAsia="pt-BR"/>
        </w:rPr>
        <w:drawing>
          <wp:anchor distT="0" distB="0" distL="114300" distR="114300" simplePos="0" relativeHeight="251660288" behindDoc="0" locked="0" layoutInCell="1" allowOverlap="1" wp14:anchorId="2D22FAD9" wp14:editId="31FE26DB">
            <wp:simplePos x="0" y="0"/>
            <wp:positionH relativeFrom="column">
              <wp:posOffset>1367790</wp:posOffset>
            </wp:positionH>
            <wp:positionV relativeFrom="paragraph">
              <wp:posOffset>4445</wp:posOffset>
            </wp:positionV>
            <wp:extent cx="3114675" cy="1752600"/>
            <wp:effectExtent l="0" t="0" r="9525" b="0"/>
            <wp:wrapSquare wrapText="bothSides"/>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EA2CA3" w:rsidRDefault="00EA2CA3" w:rsidP="00EA2CA3">
      <w:pPr>
        <w:spacing w:line="240" w:lineRule="auto"/>
        <w:ind w:left="993"/>
        <w:rPr>
          <w:rFonts w:cs="Times New Roman"/>
          <w:b/>
          <w:sz w:val="20"/>
          <w:szCs w:val="24"/>
        </w:rPr>
      </w:pPr>
    </w:p>
    <w:p w:rsidR="00EA2CA3" w:rsidRDefault="00EA2CA3" w:rsidP="00EA2CA3">
      <w:pPr>
        <w:spacing w:line="240" w:lineRule="auto"/>
        <w:ind w:left="993"/>
        <w:rPr>
          <w:rFonts w:cs="Times New Roman"/>
          <w:b/>
          <w:sz w:val="20"/>
          <w:szCs w:val="24"/>
        </w:rPr>
      </w:pPr>
      <w:r>
        <w:rPr>
          <w:rFonts w:cs="Times New Roman"/>
          <w:b/>
          <w:sz w:val="20"/>
          <w:szCs w:val="24"/>
        </w:rPr>
        <w:t xml:space="preserve">         </w:t>
      </w:r>
    </w:p>
    <w:p w:rsidR="00EA2CA3" w:rsidRDefault="00EA2CA3" w:rsidP="00EA2CA3">
      <w:pPr>
        <w:spacing w:line="240" w:lineRule="auto"/>
        <w:ind w:left="1418" w:firstLine="708"/>
        <w:rPr>
          <w:rFonts w:cs="Times New Roman"/>
          <w:sz w:val="20"/>
          <w:szCs w:val="24"/>
        </w:rPr>
      </w:pPr>
      <w:r w:rsidRPr="0020623A">
        <w:rPr>
          <w:rFonts w:cs="Times New Roman"/>
          <w:b/>
          <w:sz w:val="20"/>
          <w:szCs w:val="24"/>
        </w:rPr>
        <w:t>Fonte:</w:t>
      </w:r>
      <w:r w:rsidRPr="00E9415F">
        <w:rPr>
          <w:rFonts w:cs="Times New Roman"/>
          <w:sz w:val="20"/>
          <w:szCs w:val="24"/>
        </w:rPr>
        <w:t xml:space="preserve"> Própria</w:t>
      </w:r>
      <w:r>
        <w:rPr>
          <w:rFonts w:cs="Times New Roman"/>
          <w:b/>
          <w:sz w:val="20"/>
          <w:szCs w:val="24"/>
        </w:rPr>
        <w:t xml:space="preserve"> </w:t>
      </w:r>
      <w:r>
        <w:rPr>
          <w:rFonts w:cs="Times New Roman"/>
          <w:sz w:val="20"/>
          <w:szCs w:val="24"/>
        </w:rPr>
        <w:t>(2018)</w:t>
      </w:r>
    </w:p>
    <w:p w:rsidR="00EA2CA3" w:rsidRDefault="00EA2CA3" w:rsidP="00EA2CA3">
      <w:pPr>
        <w:spacing w:line="240" w:lineRule="auto"/>
        <w:ind w:left="993"/>
        <w:rPr>
          <w:rFonts w:cs="Times New Roman"/>
          <w:szCs w:val="24"/>
        </w:rPr>
      </w:pPr>
    </w:p>
    <w:p w:rsidR="00EA2CA3" w:rsidRDefault="00EA2CA3" w:rsidP="00EA2CA3">
      <w:pPr>
        <w:spacing w:line="240" w:lineRule="auto"/>
        <w:ind w:left="993"/>
        <w:rPr>
          <w:rFonts w:cs="Times New Roman"/>
          <w:szCs w:val="24"/>
        </w:rPr>
      </w:pPr>
    </w:p>
    <w:p w:rsidR="00EA2CA3" w:rsidRDefault="00EA2CA3" w:rsidP="00EA2CA3">
      <w:pPr>
        <w:rPr>
          <w:rFonts w:cs="Times New Roman"/>
          <w:szCs w:val="24"/>
        </w:rPr>
      </w:pPr>
      <w:r>
        <w:rPr>
          <w:rFonts w:cs="Times New Roman"/>
          <w:szCs w:val="24"/>
        </w:rPr>
        <w:t xml:space="preserve">As Competências </w:t>
      </w:r>
      <w:proofErr w:type="gramStart"/>
      <w:r>
        <w:rPr>
          <w:rFonts w:cs="Times New Roman"/>
          <w:szCs w:val="24"/>
        </w:rPr>
        <w:t>2</w:t>
      </w:r>
      <w:proofErr w:type="gramEnd"/>
      <w:r>
        <w:rPr>
          <w:rFonts w:cs="Times New Roman"/>
          <w:szCs w:val="24"/>
        </w:rPr>
        <w:t xml:space="preserve"> e 4 não foram identificadas em nenhum ano que foi analisado. Com relação às habilidades, analisando o triênio foram identificadas 10 habilidades: 01, 03, 08, 17, 18, 19, 24, 25, 26 e 27, sendo as Habilidades 18, 17 e 24 as que estiveram em um maior número de questões analisadas (Figura 06).</w:t>
      </w:r>
    </w:p>
    <w:p w:rsidR="00EA2CA3" w:rsidRDefault="00EA2CA3" w:rsidP="00EA2CA3">
      <w:pPr>
        <w:rPr>
          <w:rFonts w:cs="Times New Roman"/>
          <w:szCs w:val="24"/>
        </w:rPr>
      </w:pPr>
    </w:p>
    <w:p w:rsidR="00EA2CA3" w:rsidRPr="00B32336" w:rsidRDefault="00EA2CA3" w:rsidP="00EA2CA3">
      <w:pPr>
        <w:spacing w:line="240" w:lineRule="auto"/>
        <w:rPr>
          <w:rFonts w:cs="Times New Roman"/>
          <w:b/>
          <w:szCs w:val="24"/>
        </w:rPr>
      </w:pPr>
      <w:r>
        <w:rPr>
          <w:rFonts w:cs="Times New Roman"/>
          <w:szCs w:val="24"/>
        </w:rPr>
        <w:t xml:space="preserve"> </w:t>
      </w:r>
      <w:r w:rsidRPr="00B824E3">
        <w:rPr>
          <w:rFonts w:cs="Times New Roman"/>
          <w:b/>
          <w:szCs w:val="24"/>
        </w:rPr>
        <w:t xml:space="preserve">Figura </w:t>
      </w:r>
      <w:r>
        <w:rPr>
          <w:rFonts w:cs="Times New Roman"/>
          <w:b/>
          <w:szCs w:val="24"/>
        </w:rPr>
        <w:t>06</w:t>
      </w:r>
      <w:r>
        <w:rPr>
          <w:rFonts w:cs="Times New Roman"/>
          <w:szCs w:val="24"/>
        </w:rPr>
        <w:t>- Habilidades do último triênio do ENEM.</w:t>
      </w:r>
    </w:p>
    <w:p w:rsidR="00EA2CA3" w:rsidRDefault="00EA2CA3" w:rsidP="00EA2CA3">
      <w:pPr>
        <w:jc w:val="center"/>
        <w:rPr>
          <w:rFonts w:cs="Times New Roman"/>
          <w:b/>
          <w:sz w:val="20"/>
          <w:szCs w:val="24"/>
        </w:rPr>
      </w:pPr>
      <w:r>
        <w:rPr>
          <w:noProof/>
          <w:lang w:eastAsia="pt-BR"/>
        </w:rPr>
        <w:drawing>
          <wp:inline distT="0" distB="0" distL="0" distR="0" wp14:anchorId="7E257918" wp14:editId="7EA3903E">
            <wp:extent cx="5067300" cy="146685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A2CA3" w:rsidRDefault="00EA2CA3" w:rsidP="00EA2CA3">
      <w:pPr>
        <w:rPr>
          <w:rFonts w:cs="Times New Roman"/>
          <w:sz w:val="20"/>
          <w:szCs w:val="24"/>
        </w:rPr>
      </w:pPr>
      <w:r w:rsidRPr="00B824E3">
        <w:rPr>
          <w:rFonts w:cs="Times New Roman"/>
          <w:b/>
          <w:sz w:val="20"/>
          <w:szCs w:val="24"/>
        </w:rPr>
        <w:t>Fonte:</w:t>
      </w:r>
      <w:r w:rsidRPr="00B824E3">
        <w:rPr>
          <w:rFonts w:cs="Times New Roman"/>
          <w:sz w:val="20"/>
          <w:szCs w:val="24"/>
        </w:rPr>
        <w:t xml:space="preserve"> </w:t>
      </w:r>
      <w:r w:rsidRPr="00E9415F">
        <w:rPr>
          <w:rFonts w:cs="Times New Roman"/>
          <w:sz w:val="20"/>
          <w:szCs w:val="24"/>
        </w:rPr>
        <w:t>Própria</w:t>
      </w:r>
      <w:r>
        <w:rPr>
          <w:rFonts w:cs="Times New Roman"/>
          <w:b/>
          <w:sz w:val="20"/>
          <w:szCs w:val="24"/>
        </w:rPr>
        <w:t xml:space="preserve"> </w:t>
      </w:r>
      <w:r>
        <w:rPr>
          <w:rFonts w:cs="Times New Roman"/>
          <w:sz w:val="20"/>
          <w:szCs w:val="24"/>
        </w:rPr>
        <w:t>(2018)</w:t>
      </w:r>
    </w:p>
    <w:p w:rsidR="00EA2CA3" w:rsidRDefault="00EA2CA3" w:rsidP="00EA2CA3">
      <w:pPr>
        <w:ind w:left="993"/>
        <w:rPr>
          <w:rFonts w:cs="Times New Roman"/>
          <w:szCs w:val="24"/>
        </w:rPr>
      </w:pPr>
    </w:p>
    <w:p w:rsidR="00EA2CA3" w:rsidRDefault="00EA2CA3" w:rsidP="00EA2CA3">
      <w:pPr>
        <w:pStyle w:val="Ttulo1"/>
        <w:spacing w:after="240"/>
        <w:rPr>
          <w:rFonts w:ascii="Times New Roman" w:hAnsi="Times New Roman" w:cs="Times New Roman"/>
          <w:b w:val="0"/>
          <w:color w:val="000000" w:themeColor="text1"/>
          <w:sz w:val="24"/>
          <w:szCs w:val="24"/>
        </w:rPr>
      </w:pPr>
      <w:bookmarkStart w:id="3" w:name="_Toc510485276"/>
      <w:proofErr w:type="gramStart"/>
      <w:r>
        <w:rPr>
          <w:rFonts w:ascii="Times New Roman" w:hAnsi="Times New Roman" w:cs="Times New Roman"/>
          <w:color w:val="000000" w:themeColor="text1"/>
          <w:sz w:val="24"/>
          <w:szCs w:val="24"/>
        </w:rPr>
        <w:t>3</w:t>
      </w:r>
      <w:proofErr w:type="gramEnd"/>
      <w:r>
        <w:rPr>
          <w:rFonts w:ascii="Times New Roman" w:hAnsi="Times New Roman" w:cs="Times New Roman"/>
          <w:color w:val="000000" w:themeColor="text1"/>
          <w:sz w:val="24"/>
          <w:szCs w:val="24"/>
        </w:rPr>
        <w:t xml:space="preserve"> CONSIDERAÇÕES FINAIS</w:t>
      </w:r>
      <w:bookmarkEnd w:id="3"/>
      <w:r>
        <w:rPr>
          <w:rFonts w:ascii="Times New Roman" w:hAnsi="Times New Roman" w:cs="Times New Roman"/>
          <w:color w:val="000000" w:themeColor="text1"/>
          <w:sz w:val="24"/>
          <w:szCs w:val="24"/>
        </w:rPr>
        <w:t xml:space="preserve">  </w:t>
      </w:r>
    </w:p>
    <w:p w:rsidR="00EA2CA3" w:rsidRDefault="00EA2CA3" w:rsidP="00EA2CA3">
      <w:pPr>
        <w:rPr>
          <w:rFonts w:cs="Times New Roman"/>
          <w:color w:val="000000" w:themeColor="text1"/>
          <w:szCs w:val="24"/>
        </w:rPr>
      </w:pPr>
      <w:r>
        <w:rPr>
          <w:rFonts w:cs="Times New Roman"/>
          <w:b/>
          <w:color w:val="000000" w:themeColor="text1"/>
          <w:szCs w:val="24"/>
        </w:rPr>
        <w:t xml:space="preserve"> </w:t>
      </w:r>
      <w:r>
        <w:rPr>
          <w:rFonts w:cs="Times New Roman"/>
          <w:color w:val="000000" w:themeColor="text1"/>
          <w:szCs w:val="24"/>
        </w:rPr>
        <w:t>A prova do ENEM baseia-se em uma matriz de referências com competências e habilidades que devem ser desenvolvidas pelos estudantes para solucionar as situações-problemas proposta nas questões da prova do exame. Nos PCNEM também são apresentadas competências e habilidades, bem como temas estruturadores, que devem ser desenvolvidos no ensino de Química.</w:t>
      </w:r>
    </w:p>
    <w:p w:rsidR="00EA2CA3" w:rsidRDefault="00EA2CA3" w:rsidP="00EA2CA3">
      <w:pPr>
        <w:rPr>
          <w:rFonts w:cs="Times New Roman"/>
          <w:color w:val="000000" w:themeColor="text1"/>
          <w:szCs w:val="24"/>
        </w:rPr>
      </w:pPr>
      <w:r>
        <w:rPr>
          <w:rFonts w:cs="Times New Roman"/>
          <w:color w:val="000000" w:themeColor="text1"/>
          <w:szCs w:val="24"/>
        </w:rPr>
        <w:t xml:space="preserve">Após análise dos dados observou-se que nos últimos três anos foram cobrados 66,67% das Competências, 43,48% das Habilidades e 60,0% das temáticas referentes à área de Química. O máximo de Competências distintas cobradas em um mesmo ano de </w:t>
      </w:r>
      <w:r>
        <w:rPr>
          <w:rFonts w:cs="Times New Roman"/>
          <w:color w:val="000000" w:themeColor="text1"/>
          <w:szCs w:val="24"/>
        </w:rPr>
        <w:lastRenderedPageBreak/>
        <w:t xml:space="preserve">prova foram </w:t>
      </w:r>
      <w:proofErr w:type="gramStart"/>
      <w:r>
        <w:rPr>
          <w:rFonts w:cs="Times New Roman"/>
          <w:color w:val="000000" w:themeColor="text1"/>
          <w:szCs w:val="24"/>
        </w:rPr>
        <w:t>4</w:t>
      </w:r>
      <w:proofErr w:type="gramEnd"/>
      <w:r>
        <w:rPr>
          <w:rFonts w:cs="Times New Roman"/>
          <w:color w:val="000000" w:themeColor="text1"/>
          <w:szCs w:val="24"/>
        </w:rPr>
        <w:t xml:space="preserve"> e Habilidades 7. Das temáticas envolvidas nas 45 questões analisadas 55,6% concentrou-se em apenas </w:t>
      </w:r>
      <w:proofErr w:type="gramStart"/>
      <w:r>
        <w:rPr>
          <w:rFonts w:cs="Times New Roman"/>
          <w:color w:val="000000" w:themeColor="text1"/>
          <w:szCs w:val="24"/>
        </w:rPr>
        <w:t>6</w:t>
      </w:r>
      <w:proofErr w:type="gramEnd"/>
      <w:r>
        <w:rPr>
          <w:rFonts w:cs="Times New Roman"/>
          <w:color w:val="000000" w:themeColor="text1"/>
          <w:szCs w:val="24"/>
        </w:rPr>
        <w:t xml:space="preserve"> conteúdo.</w:t>
      </w:r>
    </w:p>
    <w:p w:rsidR="00EA2CA3" w:rsidRDefault="00EA2CA3" w:rsidP="00EA2CA3">
      <w:pPr>
        <w:rPr>
          <w:rFonts w:cs="Times New Roman"/>
          <w:color w:val="000000" w:themeColor="text1"/>
          <w:szCs w:val="24"/>
        </w:rPr>
      </w:pPr>
      <w:r>
        <w:rPr>
          <w:rFonts w:cs="Times New Roman"/>
          <w:color w:val="000000" w:themeColor="text1"/>
          <w:szCs w:val="24"/>
        </w:rPr>
        <w:t>Com relação à interdisciplinaridade, nos anos de 2015 e 2016 apenas 17% das questões não apresentaram, já no ano de 2017 esse índice subiu para 33%, mostrando assim um aumento de questões com conteúdo exclusivo da Química.</w:t>
      </w:r>
    </w:p>
    <w:p w:rsidR="00EA2CA3" w:rsidRDefault="00EA2CA3" w:rsidP="00EA2CA3">
      <w:pPr>
        <w:rPr>
          <w:rFonts w:cs="Times New Roman"/>
          <w:color w:val="000000" w:themeColor="text1"/>
          <w:szCs w:val="24"/>
        </w:rPr>
      </w:pPr>
      <w:r>
        <w:rPr>
          <w:rFonts w:cs="Times New Roman"/>
          <w:color w:val="000000" w:themeColor="text1"/>
          <w:szCs w:val="24"/>
        </w:rPr>
        <w:t>Por fim, é possível afirmar que ainda há uma grande parte de competências, habilidades e conteúdo que podem ser explorados no Exame Nacional do Ensino Médio-ENEM.</w:t>
      </w:r>
    </w:p>
    <w:p w:rsidR="00EA2CA3" w:rsidRPr="008123ED" w:rsidRDefault="00EA2CA3" w:rsidP="00EA2CA3">
      <w:pPr>
        <w:pStyle w:val="Ttulo1"/>
        <w:spacing w:line="360" w:lineRule="auto"/>
        <w:rPr>
          <w:rFonts w:ascii="Times New Roman" w:hAnsi="Times New Roman" w:cs="Times New Roman"/>
          <w:color w:val="auto"/>
          <w:sz w:val="24"/>
          <w:szCs w:val="24"/>
        </w:rPr>
      </w:pPr>
      <w:bookmarkStart w:id="4" w:name="_Toc510485277"/>
      <w:r w:rsidRPr="008123ED">
        <w:rPr>
          <w:rFonts w:ascii="Times New Roman" w:hAnsi="Times New Roman" w:cs="Times New Roman"/>
          <w:color w:val="auto"/>
          <w:sz w:val="24"/>
          <w:szCs w:val="24"/>
        </w:rPr>
        <w:t>REFERÊNCIAS</w:t>
      </w:r>
      <w:bookmarkEnd w:id="4"/>
    </w:p>
    <w:p w:rsidR="00EA2CA3" w:rsidRPr="00A61C47" w:rsidRDefault="00EA2CA3" w:rsidP="00EA2CA3">
      <w:pPr>
        <w:spacing w:line="240" w:lineRule="auto"/>
        <w:rPr>
          <w:rFonts w:cs="Times New Roman"/>
          <w:szCs w:val="24"/>
        </w:rPr>
      </w:pPr>
      <w:r w:rsidRPr="00A61C47">
        <w:rPr>
          <w:rFonts w:cs="Times New Roman"/>
          <w:szCs w:val="24"/>
        </w:rPr>
        <w:t xml:space="preserve">BRASIL, Ministério da Educação. </w:t>
      </w:r>
      <w:r w:rsidRPr="00A61C47">
        <w:rPr>
          <w:rFonts w:cs="Times New Roman"/>
          <w:b/>
          <w:szCs w:val="24"/>
        </w:rPr>
        <w:t>Diretrizes Curriculares Nacionais para o Ensino Médio.</w:t>
      </w:r>
      <w:r w:rsidRPr="00A61C47">
        <w:rPr>
          <w:rFonts w:cs="Times New Roman"/>
          <w:szCs w:val="24"/>
        </w:rPr>
        <w:t xml:space="preserve"> Brasília: Ministério da Educação/INEP, 2013.</w:t>
      </w:r>
    </w:p>
    <w:p w:rsidR="00EA2CA3" w:rsidRPr="00A61C47" w:rsidRDefault="00EA2CA3" w:rsidP="00EA2CA3">
      <w:pPr>
        <w:spacing w:line="240" w:lineRule="auto"/>
        <w:rPr>
          <w:rFonts w:cs="Times New Roman"/>
          <w:color w:val="222222"/>
          <w:szCs w:val="24"/>
          <w:shd w:val="clear" w:color="auto" w:fill="FFFFFF"/>
        </w:rPr>
      </w:pPr>
      <w:r w:rsidRPr="00A61C47">
        <w:rPr>
          <w:rFonts w:cs="Times New Roman"/>
          <w:color w:val="222222"/>
          <w:szCs w:val="24"/>
          <w:shd w:val="clear" w:color="auto" w:fill="FFFFFF"/>
        </w:rPr>
        <w:t>BRASIL, Ministério da Educação. Instituto Nacional de Estudos e Pesquisas Educacionais Anísio Teixeira. </w:t>
      </w:r>
      <w:r w:rsidRPr="00A61C47">
        <w:rPr>
          <w:rFonts w:cs="Times New Roman"/>
          <w:b/>
          <w:bCs/>
          <w:color w:val="222222"/>
          <w:szCs w:val="24"/>
          <w:shd w:val="clear" w:color="auto" w:fill="FFFFFF"/>
        </w:rPr>
        <w:t>Matriz de Referência do ENEM</w:t>
      </w:r>
      <w:r w:rsidRPr="00A61C47">
        <w:rPr>
          <w:rFonts w:cs="Times New Roman"/>
          <w:color w:val="222222"/>
          <w:szCs w:val="24"/>
          <w:shd w:val="clear" w:color="auto" w:fill="FFFFFF"/>
        </w:rPr>
        <w:t>. Disponível em &lt;</w:t>
      </w:r>
      <w:r w:rsidRPr="00A61C47">
        <w:rPr>
          <w:rFonts w:cs="Times New Roman"/>
          <w:szCs w:val="24"/>
        </w:rPr>
        <w:t xml:space="preserve"> </w:t>
      </w:r>
      <w:r w:rsidRPr="00A61C47">
        <w:rPr>
          <w:rFonts w:cs="Times New Roman"/>
          <w:color w:val="222222"/>
          <w:szCs w:val="24"/>
          <w:shd w:val="clear" w:color="auto" w:fill="FFFFFF"/>
        </w:rPr>
        <w:t>http://download.inep.gov.br/educacao_basica/enem/downloads/2012/matriz_referencia_enem.pdf &gt;, Acesso em 12 de dezembro de 2017.</w:t>
      </w:r>
    </w:p>
    <w:p w:rsidR="00EA2CA3" w:rsidRPr="00A61C47" w:rsidRDefault="00EA2CA3" w:rsidP="00EA2CA3">
      <w:pPr>
        <w:spacing w:line="240" w:lineRule="auto"/>
        <w:rPr>
          <w:rFonts w:cs="Times New Roman"/>
          <w:szCs w:val="24"/>
        </w:rPr>
      </w:pPr>
      <w:r w:rsidRPr="00A61C47">
        <w:rPr>
          <w:rFonts w:cs="Times New Roman"/>
          <w:szCs w:val="24"/>
        </w:rPr>
        <w:t xml:space="preserve">BRASIL, Ministério da Educação. </w:t>
      </w:r>
      <w:r w:rsidRPr="00A61C47">
        <w:rPr>
          <w:rFonts w:cs="Times New Roman"/>
          <w:b/>
          <w:szCs w:val="24"/>
        </w:rPr>
        <w:t xml:space="preserve">Orientações Curriculares para o Ensino Médio. </w:t>
      </w:r>
      <w:r w:rsidRPr="00A61C47">
        <w:rPr>
          <w:rFonts w:cs="Times New Roman"/>
          <w:szCs w:val="24"/>
        </w:rPr>
        <w:t>Brasília/2006, disponível em: &lt;http://portal.mec.gov.br/seb/arquivos/pdf/book_volume_02_internet.pdf &gt;, acessado em 22 de novembro de 2017.</w:t>
      </w:r>
    </w:p>
    <w:p w:rsidR="00EA2CA3" w:rsidRPr="00A61C47" w:rsidRDefault="00EA2CA3" w:rsidP="00EA2CA3">
      <w:pPr>
        <w:spacing w:line="240" w:lineRule="auto"/>
        <w:rPr>
          <w:rFonts w:cs="Times New Roman"/>
          <w:szCs w:val="24"/>
        </w:rPr>
      </w:pPr>
      <w:r w:rsidRPr="00A61C47">
        <w:rPr>
          <w:rFonts w:cs="Times New Roman"/>
          <w:szCs w:val="24"/>
        </w:rPr>
        <w:t xml:space="preserve">BRASIL, Ministério da Educação. </w:t>
      </w:r>
      <w:r w:rsidRPr="00A61C47">
        <w:rPr>
          <w:rFonts w:cs="Times New Roman"/>
          <w:b/>
          <w:szCs w:val="24"/>
        </w:rPr>
        <w:t>Parâmetros Curriculares Nacionais Ensino Médio. Parte I-bases legais.</w:t>
      </w:r>
      <w:r w:rsidRPr="00A61C47">
        <w:rPr>
          <w:rFonts w:cs="Times New Roman"/>
          <w:szCs w:val="24"/>
        </w:rPr>
        <w:t xml:space="preserve"> Brasília/2000, disponível em: &lt;http://portal.mec.gov.br/seb/arquivos/pdf/blegais.pdf&gt;, acessado em 15 de novembro de 2017. </w:t>
      </w:r>
    </w:p>
    <w:p w:rsidR="00EA2CA3" w:rsidRPr="00A61C47" w:rsidRDefault="00EA2CA3" w:rsidP="00EA2CA3">
      <w:pPr>
        <w:spacing w:line="240" w:lineRule="auto"/>
        <w:rPr>
          <w:rFonts w:cs="Times New Roman"/>
          <w:szCs w:val="24"/>
        </w:rPr>
      </w:pPr>
      <w:r w:rsidRPr="00A61C47">
        <w:rPr>
          <w:rFonts w:cs="Times New Roman"/>
          <w:szCs w:val="24"/>
        </w:rPr>
        <w:t xml:space="preserve">BRASIL, Ministério da Educação. </w:t>
      </w:r>
      <w:r w:rsidRPr="00A61C47">
        <w:rPr>
          <w:rFonts w:cs="Times New Roman"/>
          <w:b/>
          <w:szCs w:val="24"/>
        </w:rPr>
        <w:t>Parâmetros Curriculares Nacionais Ensino Médio. Parte III-ciências da natureza, matemática e suas tecnologias.</w:t>
      </w:r>
      <w:r w:rsidRPr="00A61C47">
        <w:rPr>
          <w:rFonts w:cs="Times New Roman"/>
          <w:szCs w:val="24"/>
        </w:rPr>
        <w:t xml:space="preserve"> Brasília/2000, disponível em: &lt; http://portal.mec.gov.br/seb/arquivos/pdf/ciencian.pdf&gt;, acessado em 19 de novembro de 2017.</w:t>
      </w:r>
    </w:p>
    <w:p w:rsidR="00EA2CA3" w:rsidRPr="00A61C47" w:rsidRDefault="00EA2CA3" w:rsidP="00EA2CA3">
      <w:pPr>
        <w:spacing w:line="240" w:lineRule="auto"/>
        <w:rPr>
          <w:rFonts w:cs="Times New Roman"/>
          <w:szCs w:val="24"/>
        </w:rPr>
      </w:pPr>
      <w:r w:rsidRPr="00A61C47">
        <w:rPr>
          <w:rFonts w:cs="Times New Roman"/>
          <w:szCs w:val="24"/>
        </w:rPr>
        <w:t xml:space="preserve">BRASIL, Ministério da Educação. </w:t>
      </w:r>
      <w:r w:rsidRPr="00A61C47">
        <w:rPr>
          <w:rFonts w:cs="Times New Roman"/>
          <w:b/>
          <w:szCs w:val="24"/>
        </w:rPr>
        <w:t xml:space="preserve">Parâmetros Curriculares Nacionais Ensino Médio. Orientações Educacionais Complementares aos Parâmetros Curriculares Nacionais. </w:t>
      </w:r>
      <w:proofErr w:type="gramStart"/>
      <w:r w:rsidRPr="00A61C47">
        <w:rPr>
          <w:rFonts w:cs="Times New Roman"/>
          <w:b/>
          <w:szCs w:val="24"/>
        </w:rPr>
        <w:t>ciências</w:t>
      </w:r>
      <w:proofErr w:type="gramEnd"/>
      <w:r w:rsidRPr="00A61C47">
        <w:rPr>
          <w:rFonts w:cs="Times New Roman"/>
          <w:b/>
          <w:szCs w:val="24"/>
        </w:rPr>
        <w:t xml:space="preserve"> da natureza, matemática e suas tecnologias.</w:t>
      </w:r>
      <w:r w:rsidRPr="00A61C47">
        <w:rPr>
          <w:rFonts w:cs="Times New Roman"/>
          <w:szCs w:val="24"/>
        </w:rPr>
        <w:t xml:space="preserve">   Brasília/2000, disponível em: &lt; http://portal.mec.gov.br/seb/arquivos/pdf/CienciasNatureza.pdf&gt;, acessado em 15 de novembro de 2017.</w:t>
      </w:r>
    </w:p>
    <w:p w:rsidR="00EA2CA3" w:rsidRPr="00A61C47" w:rsidRDefault="00EA2CA3" w:rsidP="00EA2CA3">
      <w:pPr>
        <w:spacing w:line="240" w:lineRule="auto"/>
        <w:rPr>
          <w:rFonts w:cs="Times New Roman"/>
          <w:szCs w:val="24"/>
        </w:rPr>
      </w:pPr>
      <w:r w:rsidRPr="00A61C47">
        <w:rPr>
          <w:rFonts w:cs="Times New Roman"/>
          <w:szCs w:val="24"/>
        </w:rPr>
        <w:t xml:space="preserve">BRASIL. Lei Nº 9.394, de 20 de dezembro de </w:t>
      </w:r>
      <w:proofErr w:type="gramStart"/>
      <w:r w:rsidRPr="00A61C47">
        <w:rPr>
          <w:rFonts w:cs="Times New Roman"/>
          <w:szCs w:val="24"/>
        </w:rPr>
        <w:t xml:space="preserve">1996 </w:t>
      </w:r>
      <w:r w:rsidRPr="00A61C47">
        <w:rPr>
          <w:rFonts w:cs="Times New Roman"/>
          <w:b/>
          <w:szCs w:val="24"/>
        </w:rPr>
        <w:t>Lex</w:t>
      </w:r>
      <w:proofErr w:type="gramEnd"/>
      <w:r w:rsidRPr="00A61C47">
        <w:rPr>
          <w:rFonts w:cs="Times New Roman"/>
          <w:b/>
          <w:szCs w:val="24"/>
        </w:rPr>
        <w:t>: Leis de Diretrizes e Bases da educação Brasileira (LDB)</w:t>
      </w:r>
      <w:r w:rsidRPr="00A61C47">
        <w:rPr>
          <w:rFonts w:cs="Times New Roman"/>
          <w:szCs w:val="24"/>
        </w:rPr>
        <w:t xml:space="preserve">, Brasília, 2017. </w:t>
      </w:r>
    </w:p>
    <w:p w:rsidR="00EA2CA3" w:rsidRPr="00A61C47" w:rsidRDefault="00EA2CA3" w:rsidP="00EA2CA3">
      <w:pPr>
        <w:spacing w:line="240" w:lineRule="auto"/>
        <w:rPr>
          <w:rFonts w:cs="Times New Roman"/>
          <w:szCs w:val="24"/>
        </w:rPr>
      </w:pPr>
      <w:r w:rsidRPr="00A61C47">
        <w:rPr>
          <w:rFonts w:cs="Times New Roman"/>
          <w:szCs w:val="24"/>
        </w:rPr>
        <w:t xml:space="preserve">.ELLERY, </w:t>
      </w:r>
      <w:proofErr w:type="spellStart"/>
      <w:r w:rsidRPr="00A61C47">
        <w:rPr>
          <w:rFonts w:cs="Times New Roman"/>
          <w:szCs w:val="24"/>
        </w:rPr>
        <w:t>Odijas</w:t>
      </w:r>
      <w:proofErr w:type="spellEnd"/>
      <w:r w:rsidRPr="00A61C47">
        <w:rPr>
          <w:rFonts w:cs="Times New Roman"/>
          <w:szCs w:val="24"/>
        </w:rPr>
        <w:t xml:space="preserve"> de Pinho. </w:t>
      </w:r>
      <w:r w:rsidRPr="00A61C47">
        <w:rPr>
          <w:rFonts w:cs="Times New Roman"/>
          <w:b/>
          <w:szCs w:val="24"/>
        </w:rPr>
        <w:t>A análise das questões de Química do Novo ENEM</w:t>
      </w:r>
      <w:r w:rsidRPr="00A61C47">
        <w:rPr>
          <w:rFonts w:cs="Times New Roman"/>
          <w:szCs w:val="24"/>
        </w:rPr>
        <w:t>, Fortaleza, 2014.</w:t>
      </w:r>
    </w:p>
    <w:p w:rsidR="00EA2CA3" w:rsidRPr="00A61C47" w:rsidRDefault="00EA2CA3" w:rsidP="00EA2CA3">
      <w:pPr>
        <w:spacing w:line="240" w:lineRule="auto"/>
        <w:rPr>
          <w:rFonts w:cs="Times New Roman"/>
          <w:szCs w:val="24"/>
        </w:rPr>
      </w:pPr>
      <w:r w:rsidRPr="00A61C47">
        <w:rPr>
          <w:rFonts w:cs="Times New Roman"/>
          <w:szCs w:val="24"/>
        </w:rPr>
        <w:t xml:space="preserve">ELLERY, </w:t>
      </w:r>
      <w:proofErr w:type="spellStart"/>
      <w:r w:rsidRPr="00A61C47">
        <w:rPr>
          <w:rFonts w:cs="Times New Roman"/>
          <w:szCs w:val="24"/>
        </w:rPr>
        <w:t>Odijas</w:t>
      </w:r>
      <w:proofErr w:type="spellEnd"/>
      <w:r w:rsidRPr="00A61C47">
        <w:rPr>
          <w:rFonts w:cs="Times New Roman"/>
          <w:szCs w:val="24"/>
        </w:rPr>
        <w:t xml:space="preserve"> de Pinho. </w:t>
      </w:r>
      <w:r w:rsidRPr="00A61C47">
        <w:rPr>
          <w:rFonts w:cs="Times New Roman"/>
          <w:b/>
          <w:szCs w:val="24"/>
        </w:rPr>
        <w:t>Manual com a análise das questões de Química do Novo ENEM</w:t>
      </w:r>
      <w:r w:rsidRPr="00A61C47">
        <w:rPr>
          <w:rFonts w:cs="Times New Roman"/>
          <w:szCs w:val="24"/>
        </w:rPr>
        <w:t>, Fortaleza, 2014.</w:t>
      </w:r>
    </w:p>
    <w:p w:rsidR="00EA2CA3" w:rsidRPr="00A61C47" w:rsidRDefault="00EA2CA3" w:rsidP="00EA2CA3">
      <w:pPr>
        <w:spacing w:line="240" w:lineRule="auto"/>
        <w:rPr>
          <w:rFonts w:cs="Times New Roman"/>
          <w:szCs w:val="24"/>
        </w:rPr>
      </w:pPr>
      <w:r w:rsidRPr="00A61C47">
        <w:rPr>
          <w:rFonts w:cs="Times New Roman"/>
          <w:szCs w:val="24"/>
        </w:rPr>
        <w:t xml:space="preserve">FERNANDES, João Paulo Silva, </w:t>
      </w:r>
      <w:proofErr w:type="gramStart"/>
      <w:r w:rsidRPr="00A61C47">
        <w:rPr>
          <w:rFonts w:cs="Times New Roman"/>
          <w:szCs w:val="24"/>
        </w:rPr>
        <w:t>et</w:t>
      </w:r>
      <w:proofErr w:type="gramEnd"/>
      <w:r w:rsidRPr="00A61C47">
        <w:rPr>
          <w:rFonts w:cs="Times New Roman"/>
          <w:szCs w:val="24"/>
        </w:rPr>
        <w:t xml:space="preserve"> al. </w:t>
      </w:r>
      <w:r w:rsidRPr="00A61C47">
        <w:rPr>
          <w:rFonts w:cs="Times New Roman"/>
          <w:b/>
          <w:szCs w:val="24"/>
        </w:rPr>
        <w:t>A química no ENEM: análise dos itens dos últimos seis anos, seminário de iniciação científica</w:t>
      </w:r>
      <w:r w:rsidRPr="00A61C47">
        <w:rPr>
          <w:rFonts w:cs="Times New Roman"/>
          <w:szCs w:val="24"/>
        </w:rPr>
        <w:t>, 5., 2016, Montes Claros.</w:t>
      </w:r>
    </w:p>
    <w:p w:rsidR="00027B70" w:rsidRPr="00EA2CA3" w:rsidRDefault="00EA2CA3" w:rsidP="00EA2CA3">
      <w:pPr>
        <w:spacing w:line="240" w:lineRule="auto"/>
        <w:rPr>
          <w:rFonts w:cs="Times New Roman"/>
          <w:szCs w:val="24"/>
        </w:rPr>
      </w:pPr>
      <w:r w:rsidRPr="00A61C47">
        <w:rPr>
          <w:rFonts w:cs="Times New Roman"/>
          <w:szCs w:val="24"/>
        </w:rPr>
        <w:t xml:space="preserve">VALENTE, Arnaldo César Magno. </w:t>
      </w:r>
      <w:r w:rsidRPr="00A61C47">
        <w:rPr>
          <w:rFonts w:cs="Times New Roman"/>
          <w:b/>
          <w:szCs w:val="24"/>
        </w:rPr>
        <w:t>ENEM: uma abordagem experimental para o ensino da disciplina de química.</w:t>
      </w:r>
      <w:r w:rsidRPr="00A61C47">
        <w:rPr>
          <w:rFonts w:cs="Times New Roman"/>
          <w:szCs w:val="24"/>
        </w:rPr>
        <w:t xml:space="preserve"> IV CONEDU, 2016.</w:t>
      </w:r>
    </w:p>
    <w:p w:rsidR="00027B70" w:rsidRPr="00027B70" w:rsidRDefault="00027B70" w:rsidP="00027B70"/>
    <w:p w:rsidR="00667B21" w:rsidRPr="00027B70" w:rsidRDefault="00027B70" w:rsidP="00027B70">
      <w:pPr>
        <w:tabs>
          <w:tab w:val="left" w:pos="3783"/>
        </w:tabs>
      </w:pPr>
      <w:r>
        <w:tab/>
      </w:r>
    </w:p>
    <w:sectPr w:rsidR="00667B21" w:rsidRPr="00027B70">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926" w:rsidRDefault="00D50926" w:rsidP="004C7AB7">
      <w:pPr>
        <w:spacing w:line="240" w:lineRule="auto"/>
      </w:pPr>
      <w:r>
        <w:separator/>
      </w:r>
    </w:p>
  </w:endnote>
  <w:endnote w:type="continuationSeparator" w:id="0">
    <w:p w:rsidR="00D50926" w:rsidRDefault="00D509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926" w:rsidRDefault="00D50926" w:rsidP="004C7AB7">
      <w:pPr>
        <w:spacing w:line="240" w:lineRule="auto"/>
      </w:pPr>
      <w:r>
        <w:separator/>
      </w:r>
    </w:p>
  </w:footnote>
  <w:footnote w:type="continuationSeparator" w:id="0">
    <w:p w:rsidR="00D50926" w:rsidRDefault="00D5092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5092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5092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72A2F"/>
    <w:rsid w:val="006A6C8E"/>
    <w:rsid w:val="006D6939"/>
    <w:rsid w:val="007066D2"/>
    <w:rsid w:val="00716FBF"/>
    <w:rsid w:val="00835CBE"/>
    <w:rsid w:val="008601D2"/>
    <w:rsid w:val="00865382"/>
    <w:rsid w:val="00975E96"/>
    <w:rsid w:val="00A056B4"/>
    <w:rsid w:val="00A14424"/>
    <w:rsid w:val="00B548B5"/>
    <w:rsid w:val="00C330DA"/>
    <w:rsid w:val="00CB6B28"/>
    <w:rsid w:val="00D50926"/>
    <w:rsid w:val="00D57D31"/>
    <w:rsid w:val="00E2792E"/>
    <w:rsid w:val="00E46640"/>
    <w:rsid w:val="00EA2CA3"/>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EA2CA3"/>
    <w:pPr>
      <w:keepNext/>
      <w:keepLines/>
      <w:spacing w:before="480" w:line="276" w:lineRule="auto"/>
      <w:ind w:firstLine="0"/>
      <w:jc w:val="left"/>
      <w:outlineLvl w:val="0"/>
    </w:pPr>
    <w:rPr>
      <w:rFonts w:asciiTheme="majorHAnsi" w:eastAsiaTheme="majorEastAsia" w:hAnsiTheme="majorHAnsi" w:cstheme="majorBidi"/>
      <w:b/>
      <w:bCs/>
      <w:color w:val="2F5496"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EA2CA3"/>
    <w:rPr>
      <w:rFonts w:asciiTheme="majorHAnsi" w:eastAsiaTheme="majorEastAsia" w:hAnsiTheme="majorHAnsi" w:cstheme="majorBidi"/>
      <w:b/>
      <w:bCs/>
      <w:color w:val="2F5496" w:themeColor="accent1" w:themeShade="BF"/>
      <w:sz w:val="28"/>
      <w:szCs w:val="28"/>
    </w:rPr>
  </w:style>
  <w:style w:type="table" w:styleId="Tabelacomgrade">
    <w:name w:val="Table Grid"/>
    <w:basedOn w:val="Tabelanormal"/>
    <w:uiPriority w:val="59"/>
    <w:unhideWhenUsed/>
    <w:rsid w:val="00EA2CA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EA2CA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2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EA2CA3"/>
    <w:pPr>
      <w:keepNext/>
      <w:keepLines/>
      <w:spacing w:before="480" w:line="276" w:lineRule="auto"/>
      <w:ind w:firstLine="0"/>
      <w:jc w:val="left"/>
      <w:outlineLvl w:val="0"/>
    </w:pPr>
    <w:rPr>
      <w:rFonts w:asciiTheme="majorHAnsi" w:eastAsiaTheme="majorEastAsia" w:hAnsiTheme="majorHAnsi" w:cstheme="majorBidi"/>
      <w:b/>
      <w:bCs/>
      <w:color w:val="2F5496"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EA2CA3"/>
    <w:rPr>
      <w:rFonts w:asciiTheme="majorHAnsi" w:eastAsiaTheme="majorEastAsia" w:hAnsiTheme="majorHAnsi" w:cstheme="majorBidi"/>
      <w:b/>
      <w:bCs/>
      <w:color w:val="2F5496" w:themeColor="accent1" w:themeShade="BF"/>
      <w:sz w:val="28"/>
      <w:szCs w:val="28"/>
    </w:rPr>
  </w:style>
  <w:style w:type="table" w:styleId="Tabelacomgrade">
    <w:name w:val="Table Grid"/>
    <w:basedOn w:val="Tabelanormal"/>
    <w:uiPriority w:val="59"/>
    <w:unhideWhenUsed/>
    <w:rsid w:val="00EA2CA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EA2CA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2C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3.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Pasta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Pasta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POSITIVO\Desktop\graficos-conteud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OSITIVO\Desktop\graficos-conteud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POSITIVO\Desktop\graficos-conteud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doughnutChart>
        <c:varyColors val="1"/>
        <c:ser>
          <c:idx val="0"/>
          <c:order val="0"/>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Plan1!$A$1:$E$1</c:f>
              <c:strCache>
                <c:ptCount val="5"/>
                <c:pt idx="0">
                  <c:v>Biologia </c:v>
                </c:pt>
                <c:pt idx="1">
                  <c:v>Matemática </c:v>
                </c:pt>
                <c:pt idx="2">
                  <c:v>Física </c:v>
                </c:pt>
                <c:pt idx="3">
                  <c:v>Literatura</c:v>
                </c:pt>
                <c:pt idx="4">
                  <c:v>Sem interd.</c:v>
                </c:pt>
              </c:strCache>
            </c:strRef>
          </c:cat>
          <c:val>
            <c:numRef>
              <c:f>Plan1!$A$2:$E$2</c:f>
              <c:numCache>
                <c:formatCode>General</c:formatCode>
                <c:ptCount val="5"/>
                <c:pt idx="0">
                  <c:v>7</c:v>
                </c:pt>
                <c:pt idx="1">
                  <c:v>5</c:v>
                </c:pt>
                <c:pt idx="2">
                  <c:v>2</c:v>
                </c:pt>
                <c:pt idx="3">
                  <c:v>1</c:v>
                </c:pt>
                <c:pt idx="4">
                  <c:v>3</c:v>
                </c:pt>
              </c:numCache>
            </c:numRef>
          </c:val>
          <c:extLst xmlns:c16r2="http://schemas.microsoft.com/office/drawing/2015/06/chart">
            <c:ext xmlns:c16="http://schemas.microsoft.com/office/drawing/2014/chart" uri="{C3380CC4-5D6E-409C-BE32-E72D297353CC}">
              <c16:uniqueId val="{00000000-F77F-47A8-928F-CB3630C51246}"/>
            </c:ext>
          </c:extLst>
        </c:ser>
        <c:dLbls>
          <c:showLegendKey val="0"/>
          <c:showVal val="0"/>
          <c:showCatName val="0"/>
          <c:showSerName val="0"/>
          <c:showPercent val="1"/>
          <c:showBubbleSize val="0"/>
          <c:showLeaderLines val="0"/>
        </c:dLbls>
        <c:firstSliceAng val="0"/>
        <c:holeSize val="50"/>
      </c:doughnut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doughnutChart>
        <c:varyColors val="1"/>
        <c:ser>
          <c:idx val="0"/>
          <c:order val="0"/>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Plan2!$A$1:$F$1</c:f>
              <c:strCache>
                <c:ptCount val="6"/>
                <c:pt idx="0">
                  <c:v>Biologia </c:v>
                </c:pt>
                <c:pt idx="1">
                  <c:v>Matemática </c:v>
                </c:pt>
                <c:pt idx="2">
                  <c:v>Física </c:v>
                </c:pt>
                <c:pt idx="3">
                  <c:v>História</c:v>
                </c:pt>
                <c:pt idx="4">
                  <c:v>Sem interd.</c:v>
                </c:pt>
                <c:pt idx="5">
                  <c:v>Filosofia</c:v>
                </c:pt>
              </c:strCache>
            </c:strRef>
          </c:cat>
          <c:val>
            <c:numRef>
              <c:f>Plan2!$A$2:$F$2</c:f>
              <c:numCache>
                <c:formatCode>General</c:formatCode>
                <c:ptCount val="6"/>
                <c:pt idx="0">
                  <c:v>7</c:v>
                </c:pt>
                <c:pt idx="1">
                  <c:v>4</c:v>
                </c:pt>
                <c:pt idx="2">
                  <c:v>2</c:v>
                </c:pt>
                <c:pt idx="3">
                  <c:v>1</c:v>
                </c:pt>
                <c:pt idx="4">
                  <c:v>3</c:v>
                </c:pt>
                <c:pt idx="5">
                  <c:v>1</c:v>
                </c:pt>
              </c:numCache>
            </c:numRef>
          </c:val>
          <c:extLst xmlns:c16r2="http://schemas.microsoft.com/office/drawing/2015/06/chart">
            <c:ext xmlns:c16="http://schemas.microsoft.com/office/drawing/2014/chart" uri="{C3380CC4-5D6E-409C-BE32-E72D297353CC}">
              <c16:uniqueId val="{00000000-950D-4130-8EB8-7171639E9774}"/>
            </c:ext>
          </c:extLst>
        </c:ser>
        <c:dLbls>
          <c:showLegendKey val="0"/>
          <c:showVal val="0"/>
          <c:showCatName val="0"/>
          <c:showSerName val="0"/>
          <c:showPercent val="1"/>
          <c:showBubbleSize val="0"/>
          <c:showLeaderLines val="0"/>
        </c:dLbls>
        <c:firstSliceAng val="0"/>
        <c:holeSize val="50"/>
      </c:doughnutChart>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doughnutChart>
        <c:varyColors val="1"/>
        <c:ser>
          <c:idx val="0"/>
          <c:order val="0"/>
          <c:dLbls>
            <c:spPr>
              <a:noFill/>
              <a:ln>
                <a:noFill/>
              </a:ln>
              <a:effectLst/>
            </c:spPr>
            <c:showLegendKey val="0"/>
            <c:showVal val="0"/>
            <c:showCatName val="0"/>
            <c:showSerName val="0"/>
            <c:showPercent val="1"/>
            <c:showBubbleSize val="0"/>
            <c:showLeaderLines val="0"/>
            <c:extLst xmlns:c16r2="http://schemas.microsoft.com/office/drawing/2015/06/chart">
              <c:ext xmlns:c15="http://schemas.microsoft.com/office/drawing/2012/chart" uri="{CE6537A1-D6FC-4f65-9D91-7224C49458BB}"/>
            </c:extLst>
          </c:dLbls>
          <c:cat>
            <c:strRef>
              <c:f>Plan3!$A$1:$D$1</c:f>
              <c:strCache>
                <c:ptCount val="4"/>
                <c:pt idx="0">
                  <c:v>Biologia </c:v>
                </c:pt>
                <c:pt idx="1">
                  <c:v>Matemática </c:v>
                </c:pt>
                <c:pt idx="2">
                  <c:v>Física </c:v>
                </c:pt>
                <c:pt idx="3">
                  <c:v>Sem interd.</c:v>
                </c:pt>
              </c:strCache>
            </c:strRef>
          </c:cat>
          <c:val>
            <c:numRef>
              <c:f>Plan3!$A$2:$D$2</c:f>
              <c:numCache>
                <c:formatCode>General</c:formatCode>
                <c:ptCount val="4"/>
                <c:pt idx="0">
                  <c:v>5</c:v>
                </c:pt>
                <c:pt idx="1">
                  <c:v>2</c:v>
                </c:pt>
                <c:pt idx="2">
                  <c:v>3</c:v>
                </c:pt>
                <c:pt idx="3">
                  <c:v>5</c:v>
                </c:pt>
              </c:numCache>
            </c:numRef>
          </c:val>
          <c:extLst xmlns:c16r2="http://schemas.microsoft.com/office/drawing/2015/06/chart">
            <c:ext xmlns:c16="http://schemas.microsoft.com/office/drawing/2014/chart" uri="{C3380CC4-5D6E-409C-BE32-E72D297353CC}">
              <c16:uniqueId val="{00000000-FC5F-4431-916C-2356A716A594}"/>
            </c:ext>
          </c:extLst>
        </c:ser>
        <c:dLbls>
          <c:showLegendKey val="0"/>
          <c:showVal val="0"/>
          <c:showCatName val="0"/>
          <c:showSerName val="0"/>
          <c:showPercent val="1"/>
          <c:showBubbleSize val="0"/>
          <c:showLeaderLines val="0"/>
        </c:dLbls>
        <c:firstSliceAng val="0"/>
        <c:holeSize val="50"/>
      </c:doughnutChart>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invertIfNegative val="0"/>
          <c:dPt>
            <c:idx val="0"/>
            <c:invertIfNegative val="0"/>
            <c:bubble3D val="0"/>
            <c:spPr>
              <a:solidFill>
                <a:srgbClr val="FF0000"/>
              </a:solidFill>
            </c:spPr>
            <c:extLst xmlns:c16r2="http://schemas.microsoft.com/office/drawing/2015/06/chart">
              <c:ext xmlns:c16="http://schemas.microsoft.com/office/drawing/2014/chart" uri="{C3380CC4-5D6E-409C-BE32-E72D297353CC}">
                <c16:uniqueId val="{00000001-3483-4AEF-9566-18525003178E}"/>
              </c:ext>
            </c:extLst>
          </c:dPt>
          <c:dPt>
            <c:idx val="1"/>
            <c:invertIfNegative val="0"/>
            <c:bubble3D val="0"/>
            <c:spPr>
              <a:solidFill>
                <a:srgbClr val="00B0F0"/>
              </a:solidFill>
            </c:spPr>
            <c:extLst xmlns:c16r2="http://schemas.microsoft.com/office/drawing/2015/06/chart">
              <c:ext xmlns:c16="http://schemas.microsoft.com/office/drawing/2014/chart" uri="{C3380CC4-5D6E-409C-BE32-E72D297353CC}">
                <c16:uniqueId val="{00000003-3483-4AEF-9566-18525003178E}"/>
              </c:ext>
            </c:extLst>
          </c:dPt>
          <c:dPt>
            <c:idx val="3"/>
            <c:invertIfNegative val="0"/>
            <c:bubble3D val="0"/>
            <c:spPr>
              <a:solidFill>
                <a:srgbClr val="92D050"/>
              </a:solidFill>
            </c:spPr>
            <c:extLst xmlns:c16r2="http://schemas.microsoft.com/office/drawing/2015/06/chart">
              <c:ext xmlns:c16="http://schemas.microsoft.com/office/drawing/2014/chart" uri="{C3380CC4-5D6E-409C-BE32-E72D297353CC}">
                <c16:uniqueId val="{00000005-3483-4AEF-9566-18525003178E}"/>
              </c:ext>
            </c:extLst>
          </c:dPt>
          <c:dPt>
            <c:idx val="4"/>
            <c:invertIfNegative val="0"/>
            <c:bubble3D val="0"/>
            <c:spPr>
              <a:solidFill>
                <a:schemeClr val="accent6">
                  <a:lumMod val="75000"/>
                </a:schemeClr>
              </a:solidFill>
            </c:spPr>
            <c:extLst xmlns:c16r2="http://schemas.microsoft.com/office/drawing/2015/06/chart">
              <c:ext xmlns:c16="http://schemas.microsoft.com/office/drawing/2014/chart" uri="{C3380CC4-5D6E-409C-BE32-E72D297353CC}">
                <c16:uniqueId val="{00000007-3483-4AEF-9566-18525003178E}"/>
              </c:ext>
            </c:extLst>
          </c:dPt>
          <c:dPt>
            <c:idx val="5"/>
            <c:invertIfNegative val="0"/>
            <c:bubble3D val="0"/>
            <c:spPr>
              <a:solidFill>
                <a:srgbClr val="7030A0"/>
              </a:solidFill>
            </c:spPr>
            <c:extLst xmlns:c16r2="http://schemas.microsoft.com/office/drawing/2015/06/chart">
              <c:ext xmlns:c16="http://schemas.microsoft.com/office/drawing/2014/chart" uri="{C3380CC4-5D6E-409C-BE32-E72D297353CC}">
                <c16:uniqueId val="{00000009-3483-4AEF-9566-18525003178E}"/>
              </c:ext>
            </c:extLst>
          </c:dPt>
          <c:dPt>
            <c:idx val="6"/>
            <c:invertIfNegative val="0"/>
            <c:bubble3D val="0"/>
            <c:spPr>
              <a:solidFill>
                <a:srgbClr val="002060"/>
              </a:solidFill>
            </c:spPr>
            <c:extLst xmlns:c16r2="http://schemas.microsoft.com/office/drawing/2015/06/chart">
              <c:ext xmlns:c16="http://schemas.microsoft.com/office/drawing/2014/chart" uri="{C3380CC4-5D6E-409C-BE32-E72D297353CC}">
                <c16:uniqueId val="{0000000B-3483-4AEF-9566-18525003178E}"/>
              </c:ext>
            </c:extLst>
          </c:dPt>
          <c:dLbls>
            <c:dLbl>
              <c:idx val="0"/>
              <c:layout>
                <c:manualLayout>
                  <c:x val="5.5555555555555558E-3"/>
                  <c:y val="2.4097404491105277E-2"/>
                </c:manualLayout>
              </c:layout>
              <c:tx>
                <c:rich>
                  <a:bodyPr/>
                  <a:lstStyle/>
                  <a:p>
                    <a:r>
                      <a:rPr lang="en-US"/>
                      <a:t>11,1%</a:t>
                    </a:r>
                  </a:p>
                </c:rich>
              </c:tx>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3483-4AEF-9566-18525003178E}"/>
                </c:ext>
              </c:extLst>
            </c:dLbl>
            <c:dLbl>
              <c:idx val="1"/>
              <c:layout>
                <c:manualLayout>
                  <c:x val="-2.5462668816039986E-17"/>
                  <c:y val="-8.3100029163021283E-3"/>
                </c:manualLayout>
              </c:layout>
              <c:tx>
                <c:rich>
                  <a:bodyPr/>
                  <a:lstStyle/>
                  <a:p>
                    <a:r>
                      <a:rPr lang="en-US"/>
                      <a:t>8,9%</a:t>
                    </a:r>
                  </a:p>
                </c:rich>
              </c:tx>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3483-4AEF-9566-18525003178E}"/>
                </c:ext>
              </c:extLst>
            </c:dLbl>
            <c:dLbl>
              <c:idx val="2"/>
              <c:layout>
                <c:manualLayout>
                  <c:x val="-2.7777777777777779E-3"/>
                  <c:y val="1.4838145231846019E-2"/>
                </c:manualLayout>
              </c:layout>
              <c:tx>
                <c:rich>
                  <a:bodyPr/>
                  <a:lstStyle/>
                  <a:p>
                    <a:r>
                      <a:rPr lang="en-US"/>
                      <a:t>6,7%</a:t>
                    </a:r>
                  </a:p>
                </c:rich>
              </c:tx>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C-3483-4AEF-9566-18525003178E}"/>
                </c:ext>
              </c:extLst>
            </c:dLbl>
            <c:dLbl>
              <c:idx val="3"/>
              <c:layout>
                <c:manualLayout>
                  <c:x val="2.7777777777777779E-3"/>
                  <c:y val="1.0208515602216389E-2"/>
                </c:manualLayout>
              </c:layout>
              <c:tx>
                <c:rich>
                  <a:bodyPr/>
                  <a:lstStyle/>
                  <a:p>
                    <a:r>
                      <a:rPr lang="en-US"/>
                      <a:t>6,7%</a:t>
                    </a:r>
                  </a:p>
                </c:rich>
              </c:tx>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3483-4AEF-9566-18525003178E}"/>
                </c:ext>
              </c:extLst>
            </c:dLbl>
            <c:dLbl>
              <c:idx val="4"/>
              <c:layout>
                <c:manualLayout>
                  <c:x val="0"/>
                  <c:y val="1.0208515602216389E-2"/>
                </c:manualLayout>
              </c:layout>
              <c:tx>
                <c:rich>
                  <a:bodyPr/>
                  <a:lstStyle/>
                  <a:p>
                    <a:r>
                      <a:rPr lang="en-US"/>
                      <a:t>11,1%</a:t>
                    </a:r>
                  </a:p>
                </c:rich>
              </c:tx>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3483-4AEF-9566-18525003178E}"/>
                </c:ext>
              </c:extLst>
            </c:dLbl>
            <c:dLbl>
              <c:idx val="5"/>
              <c:layout>
                <c:manualLayout>
                  <c:x val="2.7775590551181104E-3"/>
                  <c:y val="1.4838145231846019E-2"/>
                </c:manualLayout>
              </c:layout>
              <c:tx>
                <c:rich>
                  <a:bodyPr/>
                  <a:lstStyle/>
                  <a:p>
                    <a:r>
                      <a:rPr lang="en-US"/>
                      <a:t>11,1%</a:t>
                    </a:r>
                  </a:p>
                </c:rich>
              </c:tx>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3483-4AEF-9566-18525003178E}"/>
                </c:ext>
              </c:extLst>
            </c:dLbl>
            <c:dLbl>
              <c:idx val="6"/>
              <c:layout>
                <c:manualLayout>
                  <c:x val="0"/>
                  <c:y val="1.02085156022164E-2"/>
                </c:manualLayout>
              </c:layout>
              <c:tx>
                <c:rich>
                  <a:bodyPr/>
                  <a:lstStyle/>
                  <a:p>
                    <a:r>
                      <a:rPr lang="en-US"/>
                      <a:t>44,4%</a:t>
                    </a:r>
                  </a:p>
                </c:rich>
              </c:tx>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3483-4AEF-9566-18525003178E}"/>
                </c:ext>
              </c:extLst>
            </c:dLbl>
            <c:spPr>
              <a:noFill/>
              <a:ln>
                <a:noFill/>
              </a:ln>
              <a:effectLst/>
            </c:sp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Plan1!$A$1:$G$1</c:f>
              <c:strCache>
                <c:ptCount val="7"/>
                <c:pt idx="0">
                  <c:v>Cálculos estequiométricos</c:v>
                </c:pt>
                <c:pt idx="1">
                  <c:v>Nomenclatura </c:v>
                </c:pt>
                <c:pt idx="2">
                  <c:v>Potencial padrão de redução</c:v>
                </c:pt>
                <c:pt idx="3">
                  <c:v>Radioatividade</c:v>
                </c:pt>
                <c:pt idx="4">
                  <c:v>Solubilidade </c:v>
                </c:pt>
                <c:pt idx="5">
                  <c:v>Transformações químicas</c:v>
                </c:pt>
                <c:pt idx="6">
                  <c:v> Outras temáticas </c:v>
                </c:pt>
              </c:strCache>
            </c:strRef>
          </c:cat>
          <c:val>
            <c:numRef>
              <c:f>Plan1!$A$2:$G$2</c:f>
              <c:numCache>
                <c:formatCode>0.00%</c:formatCode>
                <c:ptCount val="7"/>
                <c:pt idx="0">
                  <c:v>0.1111</c:v>
                </c:pt>
                <c:pt idx="1">
                  <c:v>8.8900000000000007E-2</c:v>
                </c:pt>
                <c:pt idx="2">
                  <c:v>6.6699999999999995E-2</c:v>
                </c:pt>
                <c:pt idx="3">
                  <c:v>6.6699999999999995E-2</c:v>
                </c:pt>
                <c:pt idx="4">
                  <c:v>0.1111</c:v>
                </c:pt>
                <c:pt idx="5">
                  <c:v>0.1111</c:v>
                </c:pt>
                <c:pt idx="6">
                  <c:v>0.44440000000000002</c:v>
                </c:pt>
              </c:numCache>
            </c:numRef>
          </c:val>
          <c:extLst xmlns:c16r2="http://schemas.microsoft.com/office/drawing/2015/06/chart">
            <c:ext xmlns:c16="http://schemas.microsoft.com/office/drawing/2014/chart" uri="{C3380CC4-5D6E-409C-BE32-E72D297353CC}">
              <c16:uniqueId val="{0000000D-3483-4AEF-9566-18525003178E}"/>
            </c:ext>
          </c:extLst>
        </c:ser>
        <c:dLbls>
          <c:showLegendKey val="0"/>
          <c:showVal val="0"/>
          <c:showCatName val="0"/>
          <c:showSerName val="0"/>
          <c:showPercent val="0"/>
          <c:showBubbleSize val="0"/>
        </c:dLbls>
        <c:gapWidth val="75"/>
        <c:overlap val="40"/>
        <c:axId val="282541440"/>
        <c:axId val="282551424"/>
      </c:barChart>
      <c:catAx>
        <c:axId val="282541440"/>
        <c:scaling>
          <c:orientation val="minMax"/>
        </c:scaling>
        <c:delete val="1"/>
        <c:axPos val="b"/>
        <c:numFmt formatCode="General" sourceLinked="0"/>
        <c:majorTickMark val="none"/>
        <c:minorTickMark val="none"/>
        <c:tickLblPos val="nextTo"/>
        <c:crossAx val="282551424"/>
        <c:crosses val="autoZero"/>
        <c:auto val="1"/>
        <c:lblAlgn val="ctr"/>
        <c:lblOffset val="100"/>
        <c:noMultiLvlLbl val="0"/>
      </c:catAx>
      <c:valAx>
        <c:axId val="282551424"/>
        <c:scaling>
          <c:orientation val="minMax"/>
        </c:scaling>
        <c:delete val="1"/>
        <c:axPos val="l"/>
        <c:numFmt formatCode="0.00%" sourceLinked="1"/>
        <c:majorTickMark val="none"/>
        <c:minorTickMark val="none"/>
        <c:tickLblPos val="nextTo"/>
        <c:crossAx val="282541440"/>
        <c:crosses val="autoZero"/>
        <c:crossBetween val="between"/>
      </c:valAx>
    </c:plotArea>
    <c:legend>
      <c:legendPos val="r"/>
      <c:layout>
        <c:manualLayout>
          <c:xMode val="edge"/>
          <c:yMode val="edge"/>
          <c:x val="0.64166666666666672"/>
          <c:y val="6.4960629921259838E-2"/>
          <c:w val="0.34166666666666667"/>
          <c:h val="0.87459281131525224"/>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dLbls>
            <c:spPr>
              <a:noFill/>
              <a:ln>
                <a:noFill/>
              </a:ln>
              <a:effectLst/>
            </c:spPr>
            <c:showLegendKey val="0"/>
            <c:showVal val="0"/>
            <c:showCatName val="0"/>
            <c:showSerName val="0"/>
            <c:showPercent val="1"/>
            <c:showBubbleSize val="0"/>
            <c:showLeaderLines val="1"/>
            <c:extLst xmlns:c16r2="http://schemas.microsoft.com/office/drawing/2015/06/chart">
              <c:ext xmlns:c15="http://schemas.microsoft.com/office/drawing/2012/chart" uri="{CE6537A1-D6FC-4f65-9D91-7224C49458BB}"/>
            </c:extLst>
          </c:dLbls>
          <c:cat>
            <c:strRef>
              <c:f>Plan2!$A$1:$D$1</c:f>
              <c:strCache>
                <c:ptCount val="4"/>
                <c:pt idx="0">
                  <c:v>Competência 1</c:v>
                </c:pt>
                <c:pt idx="1">
                  <c:v>Competência 3</c:v>
                </c:pt>
                <c:pt idx="2">
                  <c:v>Competência 5</c:v>
                </c:pt>
                <c:pt idx="3">
                  <c:v>Competência 7</c:v>
                </c:pt>
              </c:strCache>
            </c:strRef>
          </c:cat>
          <c:val>
            <c:numRef>
              <c:f>Plan2!$A$2:$D$2</c:f>
              <c:numCache>
                <c:formatCode>General</c:formatCode>
                <c:ptCount val="4"/>
                <c:pt idx="0">
                  <c:v>2</c:v>
                </c:pt>
                <c:pt idx="1">
                  <c:v>2</c:v>
                </c:pt>
                <c:pt idx="2">
                  <c:v>24</c:v>
                </c:pt>
                <c:pt idx="3">
                  <c:v>17</c:v>
                </c:pt>
              </c:numCache>
            </c:numRef>
          </c:val>
          <c:extLst xmlns:c16r2="http://schemas.microsoft.com/office/drawing/2015/06/chart">
            <c:ext xmlns:c16="http://schemas.microsoft.com/office/drawing/2014/chart" uri="{C3380CC4-5D6E-409C-BE32-E72D297353CC}">
              <c16:uniqueId val="{00000000-4A18-4E90-BE4A-D597D1DFF500}"/>
            </c:ext>
          </c:extLst>
        </c:ser>
        <c:dLbls>
          <c:showLegendKey val="0"/>
          <c:showVal val="0"/>
          <c:showCatName val="0"/>
          <c:showSerName val="0"/>
          <c:showPercent val="1"/>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invertIfNegative val="0"/>
          <c:dPt>
            <c:idx val="0"/>
            <c:invertIfNegative val="0"/>
            <c:bubble3D val="0"/>
            <c:spPr>
              <a:solidFill>
                <a:srgbClr val="FF0000"/>
              </a:solidFill>
            </c:spPr>
            <c:extLst xmlns:c16r2="http://schemas.microsoft.com/office/drawing/2015/06/chart">
              <c:ext xmlns:c16="http://schemas.microsoft.com/office/drawing/2014/chart" uri="{C3380CC4-5D6E-409C-BE32-E72D297353CC}">
                <c16:uniqueId val="{00000001-2F2B-411C-BAD1-7A2C37615EC1}"/>
              </c:ext>
            </c:extLst>
          </c:dPt>
          <c:dPt>
            <c:idx val="1"/>
            <c:invertIfNegative val="0"/>
            <c:bubble3D val="0"/>
            <c:spPr>
              <a:solidFill>
                <a:srgbClr val="00B0F0"/>
              </a:solidFill>
            </c:spPr>
            <c:extLst xmlns:c16r2="http://schemas.microsoft.com/office/drawing/2015/06/chart">
              <c:ext xmlns:c16="http://schemas.microsoft.com/office/drawing/2014/chart" uri="{C3380CC4-5D6E-409C-BE32-E72D297353CC}">
                <c16:uniqueId val="{00000003-2F2B-411C-BAD1-7A2C37615EC1}"/>
              </c:ext>
            </c:extLst>
          </c:dPt>
          <c:dPt>
            <c:idx val="3"/>
            <c:invertIfNegative val="0"/>
            <c:bubble3D val="0"/>
            <c:spPr>
              <a:solidFill>
                <a:srgbClr val="92D050"/>
              </a:solidFill>
            </c:spPr>
            <c:extLst xmlns:c16r2="http://schemas.microsoft.com/office/drawing/2015/06/chart">
              <c:ext xmlns:c16="http://schemas.microsoft.com/office/drawing/2014/chart" uri="{C3380CC4-5D6E-409C-BE32-E72D297353CC}">
                <c16:uniqueId val="{00000005-2F2B-411C-BAD1-7A2C37615EC1}"/>
              </c:ext>
            </c:extLst>
          </c:dPt>
          <c:dPt>
            <c:idx val="4"/>
            <c:invertIfNegative val="0"/>
            <c:bubble3D val="0"/>
            <c:spPr>
              <a:solidFill>
                <a:schemeClr val="accent6"/>
              </a:solidFill>
            </c:spPr>
            <c:extLst xmlns:c16r2="http://schemas.microsoft.com/office/drawing/2015/06/chart">
              <c:ext xmlns:c16="http://schemas.microsoft.com/office/drawing/2014/chart" uri="{C3380CC4-5D6E-409C-BE32-E72D297353CC}">
                <c16:uniqueId val="{00000007-2F2B-411C-BAD1-7A2C37615EC1}"/>
              </c:ext>
            </c:extLst>
          </c:dPt>
          <c:dPt>
            <c:idx val="5"/>
            <c:invertIfNegative val="0"/>
            <c:bubble3D val="0"/>
            <c:spPr>
              <a:solidFill>
                <a:schemeClr val="tx1"/>
              </a:solidFill>
            </c:spPr>
            <c:extLst xmlns:c16r2="http://schemas.microsoft.com/office/drawing/2015/06/chart">
              <c:ext xmlns:c16="http://schemas.microsoft.com/office/drawing/2014/chart" uri="{C3380CC4-5D6E-409C-BE32-E72D297353CC}">
                <c16:uniqueId val="{00000009-2F2B-411C-BAD1-7A2C37615EC1}"/>
              </c:ext>
            </c:extLst>
          </c:dPt>
          <c:dPt>
            <c:idx val="6"/>
            <c:invertIfNegative val="0"/>
            <c:bubble3D val="0"/>
            <c:spPr>
              <a:solidFill>
                <a:srgbClr val="FFFF00"/>
              </a:solidFill>
            </c:spPr>
            <c:extLst xmlns:c16r2="http://schemas.microsoft.com/office/drawing/2015/06/chart">
              <c:ext xmlns:c16="http://schemas.microsoft.com/office/drawing/2014/chart" uri="{C3380CC4-5D6E-409C-BE32-E72D297353CC}">
                <c16:uniqueId val="{0000000B-2F2B-411C-BAD1-7A2C37615EC1}"/>
              </c:ext>
            </c:extLst>
          </c:dPt>
          <c:dPt>
            <c:idx val="7"/>
            <c:invertIfNegative val="0"/>
            <c:bubble3D val="0"/>
            <c:spPr>
              <a:solidFill>
                <a:srgbClr val="7030A0"/>
              </a:solidFill>
            </c:spPr>
            <c:extLst xmlns:c16r2="http://schemas.microsoft.com/office/drawing/2015/06/chart">
              <c:ext xmlns:c16="http://schemas.microsoft.com/office/drawing/2014/chart" uri="{C3380CC4-5D6E-409C-BE32-E72D297353CC}">
                <c16:uniqueId val="{0000000D-2F2B-411C-BAD1-7A2C37615EC1}"/>
              </c:ext>
            </c:extLst>
          </c:dPt>
          <c:dPt>
            <c:idx val="8"/>
            <c:invertIfNegative val="0"/>
            <c:bubble3D val="0"/>
            <c:spPr>
              <a:solidFill>
                <a:srgbClr val="0070C0"/>
              </a:solidFill>
            </c:spPr>
            <c:extLst xmlns:c16r2="http://schemas.microsoft.com/office/drawing/2015/06/chart">
              <c:ext xmlns:c16="http://schemas.microsoft.com/office/drawing/2014/chart" uri="{C3380CC4-5D6E-409C-BE32-E72D297353CC}">
                <c16:uniqueId val="{0000000F-2F2B-411C-BAD1-7A2C37615EC1}"/>
              </c:ext>
            </c:extLst>
          </c:dPt>
          <c:dPt>
            <c:idx val="9"/>
            <c:invertIfNegative val="0"/>
            <c:bubble3D val="0"/>
            <c:spPr>
              <a:solidFill>
                <a:schemeClr val="accent3">
                  <a:lumMod val="75000"/>
                </a:schemeClr>
              </a:solidFill>
            </c:spPr>
            <c:extLst xmlns:c16r2="http://schemas.microsoft.com/office/drawing/2015/06/chart">
              <c:ext xmlns:c16="http://schemas.microsoft.com/office/drawing/2014/chart" uri="{C3380CC4-5D6E-409C-BE32-E72D297353CC}">
                <c16:uniqueId val="{00000011-2F2B-411C-BAD1-7A2C37615EC1}"/>
              </c:ext>
            </c:extLst>
          </c:dPt>
          <c:dLbls>
            <c:dLbl>
              <c:idx val="0"/>
              <c:layout>
                <c:manualLayout>
                  <c:x val="0"/>
                  <c:y val="-3.2771945173519978E-3"/>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2F2B-411C-BAD1-7A2C37615EC1}"/>
                </c:ext>
              </c:extLst>
            </c:dLbl>
            <c:dLbl>
              <c:idx val="1"/>
              <c:layout>
                <c:manualLayout>
                  <c:x val="0"/>
                  <c:y val="1.5241324001166521E-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2F2B-411C-BAD1-7A2C37615EC1}"/>
                </c:ext>
              </c:extLst>
            </c:dLbl>
            <c:dLbl>
              <c:idx val="2"/>
              <c:layout>
                <c:manualLayout>
                  <c:x val="0"/>
                  <c:y val="9.4925634295713035E-4"/>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2-2F2B-411C-BAD1-7A2C37615EC1}"/>
                </c:ext>
              </c:extLst>
            </c:dLbl>
            <c:dLbl>
              <c:idx val="3"/>
              <c:layout>
                <c:manualLayout>
                  <c:x val="0"/>
                  <c:y val="1.4838145231845977E-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2F2B-411C-BAD1-7A2C37615EC1}"/>
                </c:ext>
              </c:extLst>
            </c:dLbl>
            <c:dLbl>
              <c:idx val="4"/>
              <c:layout>
                <c:manualLayout>
                  <c:x val="0"/>
                  <c:y val="-2.6828521434820646E-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2F2B-411C-BAD1-7A2C37615EC1}"/>
                </c:ext>
              </c:extLst>
            </c:dLbl>
            <c:dLbl>
              <c:idx val="5"/>
              <c:layout>
                <c:manualLayout>
                  <c:x val="0"/>
                  <c:y val="5.9820647419072618E-3"/>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2F2B-411C-BAD1-7A2C37615EC1}"/>
                </c:ext>
              </c:extLst>
            </c:dLbl>
            <c:dLbl>
              <c:idx val="6"/>
              <c:layout>
                <c:manualLayout>
                  <c:x val="5.5555555555555558E-3"/>
                  <c:y val="1.4838145231846062E-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2F2B-411C-BAD1-7A2C37615EC1}"/>
                </c:ext>
              </c:extLst>
            </c:dLbl>
            <c:dLbl>
              <c:idx val="7"/>
              <c:layout>
                <c:manualLayout>
                  <c:x val="-2.7777777777777779E-3"/>
                  <c:y val="1.352435112277632E-3"/>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D-2F2B-411C-BAD1-7A2C37615EC1}"/>
                </c:ext>
              </c:extLst>
            </c:dLbl>
            <c:dLbl>
              <c:idx val="8"/>
              <c:layout>
                <c:manualLayout>
                  <c:x val="-2.7777777777777779E-3"/>
                  <c:y val="9.4925634295713035E-4"/>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F-2F2B-411C-BAD1-7A2C37615EC1}"/>
                </c:ext>
              </c:extLst>
            </c:dLbl>
            <c:dLbl>
              <c:idx val="9"/>
              <c:layout>
                <c:manualLayout>
                  <c:x val="0"/>
                  <c:y val="1.4838145231845934E-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1-2F2B-411C-BAD1-7A2C37615EC1}"/>
                </c:ext>
              </c:extLst>
            </c:dLbl>
            <c:spPr>
              <a:noFill/>
              <a:ln>
                <a:noFill/>
              </a:ln>
              <a:effectLst/>
            </c:sp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Plan3!$A$1:$J$1</c:f>
              <c:strCache>
                <c:ptCount val="10"/>
                <c:pt idx="0">
                  <c:v>Habilidade 01</c:v>
                </c:pt>
                <c:pt idx="1">
                  <c:v>Habilidade 03</c:v>
                </c:pt>
                <c:pt idx="2">
                  <c:v>Habilidade 08</c:v>
                </c:pt>
                <c:pt idx="3">
                  <c:v>Habilidade 17</c:v>
                </c:pt>
                <c:pt idx="4">
                  <c:v>Habilidade 18</c:v>
                </c:pt>
                <c:pt idx="5">
                  <c:v>Habilidade 19</c:v>
                </c:pt>
                <c:pt idx="6">
                  <c:v>Habilidade 24</c:v>
                </c:pt>
                <c:pt idx="7">
                  <c:v>Habilidade 25</c:v>
                </c:pt>
                <c:pt idx="8">
                  <c:v>Habilidade 26</c:v>
                </c:pt>
                <c:pt idx="9">
                  <c:v>Habilidade 27</c:v>
                </c:pt>
              </c:strCache>
            </c:strRef>
          </c:cat>
          <c:val>
            <c:numRef>
              <c:f>Plan3!$A$2:$J$2</c:f>
              <c:numCache>
                <c:formatCode>0.00%</c:formatCode>
                <c:ptCount val="10"/>
                <c:pt idx="0">
                  <c:v>2.2200000000000001E-2</c:v>
                </c:pt>
                <c:pt idx="1">
                  <c:v>2.2200000000000001E-2</c:v>
                </c:pt>
                <c:pt idx="2">
                  <c:v>4.4499999999999998E-2</c:v>
                </c:pt>
                <c:pt idx="3">
                  <c:v>0.22220000000000001</c:v>
                </c:pt>
                <c:pt idx="4">
                  <c:v>0.28889999999999999</c:v>
                </c:pt>
                <c:pt idx="5">
                  <c:v>2.2200000000000001E-2</c:v>
                </c:pt>
                <c:pt idx="6" formatCode="0%">
                  <c:v>0.2</c:v>
                </c:pt>
                <c:pt idx="7">
                  <c:v>2.2200000000000001E-2</c:v>
                </c:pt>
                <c:pt idx="8">
                  <c:v>4.4499999999999998E-2</c:v>
                </c:pt>
                <c:pt idx="9">
                  <c:v>0.1111</c:v>
                </c:pt>
              </c:numCache>
            </c:numRef>
          </c:val>
          <c:extLst xmlns:c16r2="http://schemas.microsoft.com/office/drawing/2015/06/chart">
            <c:ext xmlns:c16="http://schemas.microsoft.com/office/drawing/2014/chart" uri="{C3380CC4-5D6E-409C-BE32-E72D297353CC}">
              <c16:uniqueId val="{00000013-2F2B-411C-BAD1-7A2C37615EC1}"/>
            </c:ext>
          </c:extLst>
        </c:ser>
        <c:dLbls>
          <c:showLegendKey val="0"/>
          <c:showVal val="0"/>
          <c:showCatName val="0"/>
          <c:showSerName val="0"/>
          <c:showPercent val="0"/>
          <c:showBubbleSize val="0"/>
        </c:dLbls>
        <c:gapWidth val="75"/>
        <c:overlap val="40"/>
        <c:axId val="282590592"/>
        <c:axId val="282727552"/>
      </c:barChart>
      <c:catAx>
        <c:axId val="282590592"/>
        <c:scaling>
          <c:orientation val="minMax"/>
        </c:scaling>
        <c:delete val="1"/>
        <c:axPos val="b"/>
        <c:numFmt formatCode="General" sourceLinked="0"/>
        <c:majorTickMark val="none"/>
        <c:minorTickMark val="none"/>
        <c:tickLblPos val="nextTo"/>
        <c:crossAx val="282727552"/>
        <c:crosses val="autoZero"/>
        <c:auto val="1"/>
        <c:lblAlgn val="ctr"/>
        <c:lblOffset val="100"/>
        <c:noMultiLvlLbl val="0"/>
      </c:catAx>
      <c:valAx>
        <c:axId val="282727552"/>
        <c:scaling>
          <c:orientation val="minMax"/>
        </c:scaling>
        <c:delete val="1"/>
        <c:axPos val="l"/>
        <c:numFmt formatCode="0.00%" sourceLinked="1"/>
        <c:majorTickMark val="none"/>
        <c:minorTickMark val="none"/>
        <c:tickLblPos val="nextTo"/>
        <c:crossAx val="282590592"/>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F0A32-B8C7-42A1-AA3B-E2D4A8914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3556</Words>
  <Characters>19205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POSITIVO</cp:lastModifiedBy>
  <cp:revision>2</cp:revision>
  <dcterms:created xsi:type="dcterms:W3CDTF">2018-09-28T17:46:00Z</dcterms:created>
  <dcterms:modified xsi:type="dcterms:W3CDTF">2018-09-28T17:46:00Z</dcterms:modified>
</cp:coreProperties>
</file>