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1: Project Introduction &amp; Overview</w:t>
      </w:r>
    </w:p>
    <w:p>
      <w:r>
        <w:br/>
        <w:t xml:space="preserve">This document presents the foundational overview of the project, designed at a production-ready level for MNC evaluation. </w:t>
        <w:br/>
        <w:t>The system represents a $1,000,000,000-class architecture with enterprise standards, professional design patterns, and scalable engineering principles.</w:t>
        <w:br/>
        <w:br/>
        <w:t>1. **Project Vision**</w:t>
        <w:br/>
        <w:t xml:space="preserve">   The project is engineered as a full-stack MERN application capable of high-performance operations, modular expansion, and cloud-native deployment.</w:t>
        <w:br/>
        <w:br/>
        <w:t>2. **Purpose**</w:t>
        <w:br/>
        <w:t xml:space="preserve">   The goal is to build a robust, maintainable, and user-friendly application that supports real-world usage scenarios and enterprise workflows.</w:t>
        <w:br/>
        <w:br/>
        <w:t>3. **Core Objectives**</w:t>
        <w:br/>
        <w:t xml:space="preserve">   • Deliver a seamless UI/UX for end users  </w:t>
        <w:br/>
        <w:t xml:space="preserve">   • Maintain scalable backend APIs  </w:t>
        <w:br/>
        <w:t xml:space="preserve">   • Ensure optimized database design  </w:t>
        <w:br/>
        <w:t xml:space="preserve">   • Follow industry best practices and coding standards  </w:t>
        <w:br/>
        <w:t xml:space="preserve">   • Provide complete documentation and architecture diagrams  </w:t>
        <w:br/>
        <w:br/>
        <w:t>4. **Key Features**</w:t>
        <w:br/>
        <w:t xml:space="preserve">   • Real-time operations  </w:t>
        <w:br/>
        <w:t xml:space="preserve">   • Secure authentication  </w:t>
        <w:br/>
        <w:t xml:space="preserve">   • Modular components  </w:t>
        <w:br/>
        <w:t xml:space="preserve">   • Enterprise-level API structure  </w:t>
        <w:br/>
        <w:t xml:space="preserve">   • High-performance MongoDB schema design  </w:t>
        <w:br/>
        <w:br/>
        <w:t>5. **High-Level Architecture**</w:t>
        <w:br/>
        <w:t xml:space="preserve">   The system is separated into three core components:  </w:t>
        <w:br/>
        <w:t xml:space="preserve">   • React-based dynamic frontend  </w:t>
        <w:br/>
        <w:t xml:space="preserve">   • Node.js + Express backend REST API  </w:t>
        <w:br/>
        <w:t xml:space="preserve">   • MongoDB cloud database with optimized schema  </w:t>
        <w:br/>
        <w:br/>
        <w:t>Below is a structural representation of the architecture: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6. **Enterprise Benefits**</w:t>
        <w:br/>
        <w:t xml:space="preserve">   This architecture ensures high availability, horizontal scaling, and future-proof development methods. </w:t>
        <w:br/>
        <w:t xml:space="preserve">   The methodology includes containerization readiness, CI/CD integration capability, and cloud deployment support.</w:t>
        <w:br/>
        <w:br/>
        <w:t>7. **Production-Level Considerations**</w:t>
        <w:br/>
        <w:t xml:space="preserve">   • Error logging and monitoring (ELK, Grafana-ready)  </w:t>
        <w:br/>
        <w:t xml:space="preserve">   • API rate limiting for security  </w:t>
        <w:br/>
        <w:t xml:space="preserve">   • JWT-based auth with refresh cycles  </w:t>
        <w:br/>
        <w:t xml:space="preserve">   • Data validation pipelines  </w:t>
        <w:br/>
        <w:t xml:space="preserve">   • Frontend state caching for optimal performance  </w:t>
        <w:br/>
        <w:br/>
        <w:t>8. **Why This Project Meets MNC Standards**</w:t>
        <w:br/>
        <w:t xml:space="preserve">   The project follows SOLID principles, DRY coding patterns, and separation of concerns. </w:t>
        <w:br/>
        <w:t xml:space="preserve">   All components are independently scalable and replaceable with minimal coupling.</w:t>
        <w:br/>
        <w:br/>
        <w:t>9. **Scalability Approach**</w:t>
        <w:br/>
        <w:t xml:space="preserve">   The backend logic is fully modular, allowing microservice extraction in later stages. </w:t>
        <w:br/>
        <w:t xml:space="preserve">   MongoDB schemas follow indexing and aggregation best practices for faster queries.</w:t>
        <w:br/>
        <w:br/>
        <w:t>10. **Future Expansion**</w:t>
        <w:br/>
        <w:t xml:space="preserve">    The architecture supports:  </w:t>
        <w:br/>
        <w:t xml:space="preserve">    • AI agent integration  </w:t>
        <w:br/>
        <w:t xml:space="preserve">    • Multi-language UI  </w:t>
        <w:br/>
        <w:t xml:space="preserve">    • Internationalization  </w:t>
        <w:br/>
        <w:t xml:space="preserve">    • Mobile app integration  </w:t>
        <w:br/>
        <w:t xml:space="preserve">    • Serverless function expansion  </w:t>
        <w:br/>
        <w:br/>
        <w:t>This concludes Topic 1 documentation.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