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26" w:rsidRPr="00A83DB9" w:rsidRDefault="00A83DB9" w:rsidP="00A83DB9">
      <w:pPr>
        <w:pStyle w:val="Heading1"/>
      </w:pPr>
      <w:r w:rsidRPr="00A83DB9">
        <w:t>Hedge CF and PL verification</w:t>
      </w:r>
    </w:p>
    <w:p w:rsidR="00A83DB9" w:rsidRDefault="00A83DB9">
      <w:pPr>
        <w:rPr>
          <w:lang w:val="en-GB"/>
        </w:rPr>
      </w:pPr>
      <w:r w:rsidRPr="00A83DB9">
        <w:rPr>
          <w:lang w:val="en-GB"/>
        </w:rPr>
        <w:t>To verify the hedge exports from cashflow monitor, we have compared the sum of the exported values from a set of hedge workspaces with the sums of the corresponding actual CF/PL workspaces</w:t>
      </w:r>
      <w:r w:rsidR="008C46DF">
        <w:rPr>
          <w:lang w:val="en-GB"/>
        </w:rPr>
        <w:t>.</w:t>
      </w:r>
    </w:p>
    <w:p w:rsidR="008C46DF" w:rsidRPr="00A83DB9" w:rsidRDefault="008C46DF">
      <w:pPr>
        <w:rPr>
          <w:lang w:val="en-GB"/>
        </w:rPr>
      </w:pPr>
      <w:r>
        <w:rPr>
          <w:lang w:val="en-GB"/>
        </w:rPr>
        <w:t>The list of tested workspaces listed below: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559"/>
        <w:gridCol w:w="1701"/>
        <w:gridCol w:w="709"/>
      </w:tblGrid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 w:rsidRPr="008C46DF">
              <w:rPr>
                <w:b/>
                <w:bCs/>
                <w:sz w:val="16"/>
                <w:szCs w:val="16"/>
              </w:rPr>
              <w:t>Hedge export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 w:rsidRPr="008C46DF">
              <w:rPr>
                <w:b/>
                <w:bCs/>
                <w:sz w:val="16"/>
                <w:szCs w:val="16"/>
              </w:rPr>
              <w:t>Sum value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 w:rsidRPr="008C46DF">
              <w:rPr>
                <w:b/>
                <w:bCs/>
                <w:sz w:val="16"/>
                <w:szCs w:val="16"/>
              </w:rPr>
              <w:t>Corresponding actual export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 w:rsidRPr="008C46DF">
              <w:rPr>
                <w:b/>
                <w:bCs/>
                <w:sz w:val="16"/>
                <w:szCs w:val="16"/>
              </w:rPr>
              <w:t>Sum value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 w:rsidRPr="008C46DF">
              <w:rPr>
                <w:b/>
                <w:bCs/>
                <w:sz w:val="16"/>
                <w:szCs w:val="16"/>
              </w:rPr>
              <w:t>Diff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Note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180,392,316.95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180,392,316.95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- 1,417,461,885.51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- 1,417,509,672.06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47,786.55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71,712,438.69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71,712,438.69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561,621,556.21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561,665,636.68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44,080.47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0B60AF" w:rsidRDefault="008C46DF">
            <w:pPr>
              <w:rPr>
                <w:sz w:val="16"/>
                <w:szCs w:val="16"/>
                <w:highlight w:val="yellow"/>
              </w:rPr>
            </w:pPr>
            <w:r w:rsidRPr="000B60AF">
              <w:rPr>
                <w:sz w:val="16"/>
                <w:szCs w:val="16"/>
                <w:highlight w:val="yellow"/>
              </w:rPr>
              <w:t xml:space="preserve">- 1,159,406,742.23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149,049,656.42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1,010,357,085.80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>El-Forward-NOK-CFMon-HedgeCF-NOK</w:t>
            </w:r>
          </w:p>
        </w:tc>
        <w:tc>
          <w:tcPr>
            <w:tcW w:w="1701" w:type="dxa"/>
            <w:noWrap/>
            <w:hideMark/>
          </w:tcPr>
          <w:p w:rsidR="008C46DF" w:rsidRPr="000B60AF" w:rsidRDefault="008C46DF">
            <w:pPr>
              <w:rPr>
                <w:sz w:val="16"/>
                <w:szCs w:val="16"/>
                <w:highlight w:val="yellow"/>
              </w:rPr>
            </w:pPr>
            <w:r w:rsidRPr="000B60AF">
              <w:rPr>
                <w:sz w:val="16"/>
                <w:szCs w:val="16"/>
                <w:highlight w:val="yellow"/>
              </w:rPr>
              <w:t xml:space="preserve">- 1,159,406,742.23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- 1,159,400,759.07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             5,983.15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</w:t>
            </w:r>
            <w:r w:rsidRPr="008C46DF">
              <w:rPr>
                <w:sz w:val="16"/>
                <w:szCs w:val="16"/>
              </w:rPr>
              <w:t xml:space="preserve">67,869,773.22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</w:t>
            </w:r>
            <w:r w:rsidRPr="008C46DF">
              <w:rPr>
                <w:sz w:val="16"/>
                <w:szCs w:val="16"/>
              </w:rPr>
              <w:t xml:space="preserve">69,421,237.50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    1,551,464.28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>El-Forward-NOK-CFMon-HedgePL-NOK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538,861,907.55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El-Forward-NOK-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</w:t>
            </w:r>
            <w:r w:rsidRPr="008C46DF">
              <w:rPr>
                <w:sz w:val="16"/>
                <w:szCs w:val="16"/>
              </w:rPr>
              <w:t xml:space="preserve">538,873,873.86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          11,966.31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104,395.20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104,395.20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807,978.67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811,084.84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             3,106.17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104,395.20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104,395.20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807,978.67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El-Future-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NordPool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      </w:t>
            </w:r>
            <w:r w:rsidRPr="008C46DF">
              <w:rPr>
                <w:sz w:val="16"/>
                <w:szCs w:val="16"/>
              </w:rPr>
              <w:t xml:space="preserve">811,084.84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                    3,106.17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211,138,842.69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211,138,842.69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- 1,642,418,398.64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ActualCF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- 1,642,468,929.76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50,531.12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</w:t>
            </w:r>
            <w:r w:rsidRPr="008C46DF">
              <w:rPr>
                <w:sz w:val="16"/>
                <w:szCs w:val="16"/>
              </w:rPr>
              <w:t xml:space="preserve">82,367,580.27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-EUR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  </w:t>
            </w:r>
            <w:r w:rsidRPr="008C46DF">
              <w:rPr>
                <w:sz w:val="16"/>
                <w:szCs w:val="16"/>
              </w:rPr>
              <w:t xml:space="preserve">82,367,580.27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             0.00 </w:t>
            </w:r>
          </w:p>
        </w:tc>
        <w:tc>
          <w:tcPr>
            <w:tcW w:w="709" w:type="dxa"/>
          </w:tcPr>
          <w:p w:rsidR="008C46DF" w:rsidRPr="008C46DF" w:rsidRDefault="008C46DF">
            <w:pPr>
              <w:rPr>
                <w:sz w:val="16"/>
                <w:szCs w:val="16"/>
              </w:rPr>
            </w:pPr>
          </w:p>
        </w:tc>
      </w:tr>
      <w:tr w:rsidR="008C46DF" w:rsidRPr="008C46DF" w:rsidTr="008C46DF">
        <w:trPr>
          <w:trHeight w:val="300"/>
        </w:trPr>
        <w:tc>
          <w:tcPr>
            <w:tcW w:w="2268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HedgePL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</w:t>
            </w:r>
            <w:r w:rsidRPr="008C46DF">
              <w:rPr>
                <w:sz w:val="16"/>
                <w:szCs w:val="16"/>
              </w:rPr>
              <w:t xml:space="preserve">661,743,087.71 </w:t>
            </w:r>
          </w:p>
        </w:tc>
        <w:tc>
          <w:tcPr>
            <w:tcW w:w="2127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  <w:lang w:val="en-GB"/>
              </w:rPr>
            </w:pPr>
            <w:r w:rsidRPr="008C46DF">
              <w:rPr>
                <w:sz w:val="16"/>
                <w:szCs w:val="16"/>
                <w:lang w:val="en-GB"/>
              </w:rPr>
              <w:t>El-Struct-Fixed-EUR-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CFMon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</w:t>
            </w:r>
            <w:proofErr w:type="spellStart"/>
            <w:r w:rsidRPr="008C46DF">
              <w:rPr>
                <w:sz w:val="16"/>
                <w:szCs w:val="16"/>
                <w:lang w:val="en-GB"/>
              </w:rPr>
              <w:t>ActualPL</w:t>
            </w:r>
            <w:proofErr w:type="spellEnd"/>
            <w:r w:rsidRPr="008C46DF">
              <w:rPr>
                <w:sz w:val="16"/>
                <w:szCs w:val="16"/>
                <w:lang w:val="en-GB"/>
              </w:rPr>
              <w:t>-NOK</w:t>
            </w:r>
          </w:p>
        </w:tc>
        <w:tc>
          <w:tcPr>
            <w:tcW w:w="1559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  <w:lang w:val="en-GB"/>
              </w:rPr>
              <w:t xml:space="preserve">       </w:t>
            </w:r>
            <w:r w:rsidRPr="008C46DF">
              <w:rPr>
                <w:sz w:val="16"/>
                <w:szCs w:val="16"/>
              </w:rPr>
              <w:t xml:space="preserve">661,611,417.72 </w:t>
            </w:r>
          </w:p>
        </w:tc>
        <w:tc>
          <w:tcPr>
            <w:tcW w:w="1701" w:type="dxa"/>
            <w:noWrap/>
            <w:hideMark/>
          </w:tcPr>
          <w:p w:rsidR="008C46DF" w:rsidRPr="008C46DF" w:rsidRDefault="008C46DF">
            <w:pPr>
              <w:rPr>
                <w:sz w:val="16"/>
                <w:szCs w:val="16"/>
              </w:rPr>
            </w:pPr>
            <w:r w:rsidRPr="008C46DF">
              <w:rPr>
                <w:sz w:val="16"/>
                <w:szCs w:val="16"/>
              </w:rPr>
              <w:t xml:space="preserve">-             131,669.99 </w:t>
            </w:r>
          </w:p>
        </w:tc>
        <w:tc>
          <w:tcPr>
            <w:tcW w:w="709" w:type="dxa"/>
          </w:tcPr>
          <w:p w:rsidR="008C46DF" w:rsidRPr="008C46DF" w:rsidRDefault="00C26D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</w:p>
        </w:tc>
      </w:tr>
    </w:tbl>
    <w:p w:rsidR="00A83DB9" w:rsidRDefault="00A83DB9">
      <w:pPr>
        <w:rPr>
          <w:lang w:val="en-GB"/>
        </w:rPr>
      </w:pPr>
    </w:p>
    <w:p w:rsidR="00C26D8D" w:rsidRPr="00C26D8D" w:rsidRDefault="00C26D8D" w:rsidP="00C26D8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contracts are in EUR, with curve currency EUR and report currency NOK. I the </w:t>
      </w:r>
      <w:proofErr w:type="gramStart"/>
      <w:r>
        <w:rPr>
          <w:lang w:val="en-GB"/>
        </w:rPr>
        <w:t>hedge  calculations</w:t>
      </w:r>
      <w:proofErr w:type="gramEnd"/>
      <w:r>
        <w:rPr>
          <w:lang w:val="en-GB"/>
        </w:rPr>
        <w:t>, the total cashflow/</w:t>
      </w:r>
      <w:proofErr w:type="spellStart"/>
      <w:r>
        <w:rPr>
          <w:lang w:val="en-GB"/>
        </w:rPr>
        <w:t>pl</w:t>
      </w:r>
      <w:proofErr w:type="spellEnd"/>
      <w:r>
        <w:rPr>
          <w:lang w:val="en-GB"/>
        </w:rPr>
        <w:t xml:space="preserve"> is calculated in the contract currency, divided evenly over the contract delivery period, and then exchanged using the daily currency. In the actual calculations, the daily </w:t>
      </w:r>
      <w:proofErr w:type="spellStart"/>
      <w:r>
        <w:rPr>
          <w:lang w:val="en-GB"/>
        </w:rPr>
        <w:t>casfhlows</w:t>
      </w:r>
      <w:proofErr w:type="spellEnd"/>
      <w:r>
        <w:rPr>
          <w:lang w:val="en-GB"/>
        </w:rPr>
        <w:t xml:space="preserve"> and plc can vary quite a lot, so that each of the daily exchange rates will have different “impact” on the exchanged result compared to the hedge calculations, where all daily cashflows are almost equal. </w:t>
      </w:r>
    </w:p>
    <w:p w:rsidR="00C26D8D" w:rsidRDefault="000B60AF" w:rsidP="007A5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is an error in the workspace configuration, the report currency is set to NOK</w:t>
      </w:r>
      <w:r w:rsidR="00A253A5">
        <w:rPr>
          <w:lang w:val="en-GB"/>
        </w:rPr>
        <w:t xml:space="preserve"> even if the name of the workspace indicates otherwise. Note that the values are the same as the one for the NOK export on the line below (marked in yellow).</w:t>
      </w:r>
      <w:r>
        <w:rPr>
          <w:lang w:val="en-GB"/>
        </w:rPr>
        <w:t xml:space="preserve"> </w:t>
      </w:r>
    </w:p>
    <w:p w:rsidR="000B60AF" w:rsidRPr="00C26D8D" w:rsidRDefault="000B60AF" w:rsidP="000B60AF">
      <w:pPr>
        <w:pStyle w:val="ListParagraph"/>
        <w:numPr>
          <w:ilvl w:val="0"/>
          <w:numId w:val="2"/>
        </w:numPr>
        <w:rPr>
          <w:lang w:val="en-GB"/>
        </w:rPr>
      </w:pPr>
      <w:r w:rsidRPr="00C26D8D">
        <w:rPr>
          <w:lang w:val="en-GB"/>
        </w:rPr>
        <w:t xml:space="preserve">The contracts are in </w:t>
      </w:r>
      <w:r>
        <w:rPr>
          <w:lang w:val="en-GB"/>
        </w:rPr>
        <w:t>NOK</w:t>
      </w:r>
      <w:r w:rsidRPr="00C26D8D">
        <w:rPr>
          <w:lang w:val="en-GB"/>
        </w:rPr>
        <w:t xml:space="preserve">, with </w:t>
      </w:r>
      <w:r>
        <w:rPr>
          <w:lang w:val="en-GB"/>
        </w:rPr>
        <w:t xml:space="preserve">curve and </w:t>
      </w:r>
      <w:r w:rsidRPr="00C26D8D">
        <w:rPr>
          <w:lang w:val="en-GB"/>
        </w:rPr>
        <w:t xml:space="preserve">report currency </w:t>
      </w:r>
      <w:r>
        <w:rPr>
          <w:lang w:val="en-GB"/>
        </w:rPr>
        <w:t>EUR</w:t>
      </w:r>
      <w:r w:rsidRPr="00C26D8D">
        <w:rPr>
          <w:lang w:val="en-GB"/>
        </w:rPr>
        <w:t>. The</w:t>
      </w:r>
      <w:r>
        <w:rPr>
          <w:lang w:val="en-GB"/>
        </w:rPr>
        <w:t xml:space="preserve"> hedge cashflow and </w:t>
      </w:r>
      <w:proofErr w:type="spellStart"/>
      <w:r>
        <w:rPr>
          <w:lang w:val="en-GB"/>
        </w:rPr>
        <w:t>pl</w:t>
      </w:r>
      <w:proofErr w:type="spellEnd"/>
      <w:r>
        <w:rPr>
          <w:lang w:val="en-GB"/>
        </w:rPr>
        <w:t xml:space="preserve"> for the contract is first calculated in contract currency, using </w:t>
      </w:r>
      <w:r w:rsidRPr="00C26D8D">
        <w:rPr>
          <w:lang w:val="en-GB"/>
        </w:rPr>
        <w:t xml:space="preserve">a midpoint exchange rate for the delivery period, while the actual </w:t>
      </w:r>
      <w:proofErr w:type="spellStart"/>
      <w:r w:rsidRPr="00C26D8D">
        <w:rPr>
          <w:lang w:val="en-GB"/>
        </w:rPr>
        <w:t>cf</w:t>
      </w:r>
      <w:proofErr w:type="spellEnd"/>
      <w:r w:rsidRPr="00C26D8D">
        <w:rPr>
          <w:lang w:val="en-GB"/>
        </w:rPr>
        <w:t xml:space="preserve"> is exchanged daily in </w:t>
      </w:r>
      <w:proofErr w:type="spellStart"/>
      <w:r w:rsidRPr="00C26D8D">
        <w:rPr>
          <w:lang w:val="en-GB"/>
        </w:rPr>
        <w:t>cf</w:t>
      </w:r>
      <w:proofErr w:type="spellEnd"/>
      <w:r w:rsidRPr="00C26D8D">
        <w:rPr>
          <w:lang w:val="en-GB"/>
        </w:rPr>
        <w:t xml:space="preserve"> monitor.</w:t>
      </w:r>
      <w:r w:rsidR="00A253A5">
        <w:rPr>
          <w:lang w:val="en-GB"/>
        </w:rPr>
        <w:t xml:space="preserve"> </w:t>
      </w:r>
      <w:proofErr w:type="gramStart"/>
      <w:r w:rsidR="00A253A5">
        <w:rPr>
          <w:lang w:val="en-GB"/>
        </w:rPr>
        <w:t>Also</w:t>
      </w:r>
      <w:proofErr w:type="gramEnd"/>
      <w:r w:rsidR="00A253A5">
        <w:rPr>
          <w:lang w:val="en-GB"/>
        </w:rPr>
        <w:t xml:space="preserve"> the same calculation difference inside cashflow monitor as described in 1) apply. </w:t>
      </w:r>
    </w:p>
    <w:p w:rsidR="000B60AF" w:rsidRDefault="000B60AF" w:rsidP="000B60AF">
      <w:pPr>
        <w:pStyle w:val="ListParagraph"/>
        <w:rPr>
          <w:lang w:val="en-GB"/>
        </w:rPr>
      </w:pPr>
    </w:p>
    <w:p w:rsidR="00A253A5" w:rsidRPr="00A253A5" w:rsidRDefault="00A253A5" w:rsidP="00A253A5">
      <w:pPr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lang w:val="en-GB"/>
        </w:rPr>
        <w:t xml:space="preserve">An additional verification for the NOK reports was done by comparing the result of </w:t>
      </w:r>
      <w:r w:rsidRPr="00A253A5">
        <w:rPr>
          <w:rFonts w:ascii="Calibri" w:eastAsia="Times New Roman" w:hAnsi="Calibri" w:cs="Times New Roman"/>
          <w:color w:val="000000"/>
          <w:lang w:val="en-GB" w:eastAsia="en-GB"/>
        </w:rPr>
        <w:t>El-Forward-EUR-</w:t>
      </w:r>
      <w:proofErr w:type="spellStart"/>
      <w:r w:rsidRPr="00A253A5">
        <w:rPr>
          <w:rFonts w:ascii="Calibri" w:eastAsia="Times New Roman" w:hAnsi="Calibri" w:cs="Times New Roman"/>
          <w:color w:val="000000"/>
          <w:lang w:val="en-GB" w:eastAsia="en-GB"/>
        </w:rPr>
        <w:t>CFMon</w:t>
      </w:r>
      <w:proofErr w:type="spellEnd"/>
      <w:r w:rsidRPr="00A253A5">
        <w:rPr>
          <w:rFonts w:ascii="Calibri" w:eastAsia="Times New Roman" w:hAnsi="Calibri" w:cs="Times New Roman"/>
          <w:color w:val="000000"/>
          <w:lang w:val="en-GB" w:eastAsia="en-GB"/>
        </w:rPr>
        <w:t>-</w:t>
      </w:r>
      <w:proofErr w:type="spellStart"/>
      <w:r w:rsidRPr="00A253A5">
        <w:rPr>
          <w:rFonts w:ascii="Calibri" w:eastAsia="Times New Roman" w:hAnsi="Calibri" w:cs="Times New Roman"/>
          <w:color w:val="000000"/>
          <w:lang w:val="en-GB" w:eastAsia="en-GB"/>
        </w:rPr>
        <w:t>HedgeCF</w:t>
      </w:r>
      <w:proofErr w:type="spellEnd"/>
      <w:r w:rsidRPr="00A253A5">
        <w:rPr>
          <w:rFonts w:ascii="Calibri" w:eastAsia="Times New Roman" w:hAnsi="Calibri" w:cs="Times New Roman"/>
          <w:color w:val="000000"/>
          <w:lang w:val="en-GB" w:eastAsia="en-GB"/>
        </w:rPr>
        <w:t>-NOK</w:t>
      </w:r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 with a position monitor with the same filter and report currency. The grand total of both monitors matched exactly, as expected.</w:t>
      </w:r>
    </w:p>
    <w:p w:rsidR="00A253A5" w:rsidRPr="007A5B01" w:rsidRDefault="00A253A5" w:rsidP="000B60AF">
      <w:pPr>
        <w:pStyle w:val="ListParagraph"/>
        <w:rPr>
          <w:lang w:val="en-GB"/>
        </w:rPr>
      </w:pPr>
      <w:bookmarkStart w:id="0" w:name="_GoBack"/>
      <w:bookmarkEnd w:id="0"/>
    </w:p>
    <w:sectPr w:rsidR="00A253A5" w:rsidRPr="007A5B01" w:rsidSect="00A253A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55A"/>
    <w:multiLevelType w:val="hybridMultilevel"/>
    <w:tmpl w:val="5336D330"/>
    <w:lvl w:ilvl="0" w:tplc="8F6A7D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6E8C"/>
    <w:multiLevelType w:val="hybridMultilevel"/>
    <w:tmpl w:val="D91C89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3"/>
    <w:rsid w:val="000B60AF"/>
    <w:rsid w:val="003F1B93"/>
    <w:rsid w:val="003F2B45"/>
    <w:rsid w:val="00566248"/>
    <w:rsid w:val="007A5B01"/>
    <w:rsid w:val="008C46DF"/>
    <w:rsid w:val="009C0272"/>
    <w:rsid w:val="00A253A5"/>
    <w:rsid w:val="00A83DB9"/>
    <w:rsid w:val="00C26D8D"/>
    <w:rsid w:val="00D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C969"/>
  <w15:chartTrackingRefBased/>
  <w15:docId w15:val="{177B1A57-22EE-4619-B09F-F5187989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Hernes</dc:creator>
  <cp:keywords/>
  <dc:description/>
  <cp:lastModifiedBy>Arne Hernes</cp:lastModifiedBy>
  <cp:revision>2</cp:revision>
  <dcterms:created xsi:type="dcterms:W3CDTF">2017-04-06T11:24:00Z</dcterms:created>
  <dcterms:modified xsi:type="dcterms:W3CDTF">2017-04-06T12:49:00Z</dcterms:modified>
</cp:coreProperties>
</file>