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26786E">
      <w:pPr>
        <w:widowControl/>
        <w:spacing w:before="100" w:beforeAutospacing="1" w:after="100" w:afterAutospacing="1"/>
        <w:jc w:val="left"/>
        <w:outlineLvl w:val="0"/>
        <w:rPr>
          <w:rFonts w:ascii="宋体" w:hAnsi="宋体" w:eastAsia="宋体" w:cs="宋体"/>
          <w:b/>
          <w:bCs/>
          <w:kern w:val="36"/>
          <w:sz w:val="40"/>
          <w:szCs w:val="40"/>
          <w14:ligatures w14:val="none"/>
        </w:rPr>
      </w:pPr>
      <w:r>
        <w:rPr>
          <w:rFonts w:ascii="宋体" w:hAnsi="宋体" w:eastAsia="宋体" w:cs="宋体"/>
          <w:b/>
          <w:bCs/>
          <w:kern w:val="36"/>
          <w:sz w:val="40"/>
          <w:szCs w:val="40"/>
          <w14:ligatures w14:val="none"/>
        </w:rPr>
        <w:t>实验室全面质量管理平台软件建设方案大纲</w:t>
      </w:r>
    </w:p>
    <w:p w14:paraId="1CE70734">
      <w:pPr>
        <w:widowControl/>
        <w:spacing w:before="100" w:beforeAutospacing="1" w:after="100" w:afterAutospacing="1"/>
        <w:jc w:val="left"/>
        <w:outlineLvl w:val="1"/>
        <w:rPr>
          <w:rFonts w:ascii="宋体" w:hAnsi="宋体" w:eastAsia="宋体" w:cs="宋体"/>
          <w:b/>
          <w:bCs/>
          <w:kern w:val="0"/>
          <w:sz w:val="32"/>
          <w:szCs w:val="32"/>
          <w14:ligatures w14:val="none"/>
        </w:rPr>
      </w:pPr>
      <w:r>
        <w:rPr>
          <w:rFonts w:ascii="宋体" w:hAnsi="宋体" w:eastAsia="宋体" w:cs="宋体"/>
          <w:b/>
          <w:bCs/>
          <w:kern w:val="0"/>
          <w:sz w:val="32"/>
          <w:szCs w:val="32"/>
          <w14:ligatures w14:val="none"/>
        </w:rPr>
        <w:t>一、项目背景与建设目标</w:t>
      </w:r>
    </w:p>
    <w:p w14:paraId="660C174D">
      <w:pPr>
        <w:widowControl/>
        <w:spacing w:before="100" w:beforeAutospacing="1" w:after="100" w:afterAutospacing="1"/>
        <w:jc w:val="left"/>
        <w:outlineLvl w:val="2"/>
        <w:rPr>
          <w:rFonts w:ascii="宋体" w:hAnsi="宋体" w:eastAsia="宋体" w:cs="宋体"/>
          <w:b/>
          <w:bCs/>
          <w:kern w:val="0"/>
          <w:sz w:val="27"/>
          <w:szCs w:val="27"/>
          <w14:ligatures w14:val="none"/>
        </w:rPr>
      </w:pPr>
      <w:r>
        <w:rPr>
          <w:rFonts w:ascii="宋体" w:hAnsi="宋体" w:eastAsia="宋体" w:cs="宋体"/>
          <w:b/>
          <w:bCs/>
          <w:kern w:val="0"/>
          <w:sz w:val="27"/>
          <w:szCs w:val="27"/>
          <w14:ligatures w14:val="none"/>
        </w:rPr>
        <w:t>（一）项目背景</w:t>
      </w:r>
    </w:p>
    <w:p w14:paraId="78E6D4C3">
      <w:pPr>
        <w:widowControl/>
        <w:numPr>
          <w:ilvl w:val="0"/>
          <w:numId w:val="1"/>
        </w:numPr>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实验室质量管理现存痛点（数据分散、人工误差、合规追溯难、绩效核算低效、设备自检流程分散、缺乏全局统一管理等）</w:t>
      </w:r>
    </w:p>
    <w:p w14:paraId="4A7D3D57">
      <w:pPr>
        <w:widowControl/>
        <w:numPr>
          <w:ilvl w:val="0"/>
          <w:numId w:val="1"/>
        </w:numPr>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行业政策与发展需求（检验结果互认、ISO 15189 合规、数智化转型要求、设备全生命周期管理规范）</w:t>
      </w:r>
    </w:p>
    <w:p w14:paraId="41A7203A">
      <w:pPr>
        <w:widowControl/>
        <w:numPr>
          <w:ilvl w:val="0"/>
          <w:numId w:val="1"/>
        </w:numPr>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项目建设意义（破解管理瓶颈、提升质量效率、支撑临床科研、实现设备自检标准化与全局统一管控）</w:t>
      </w:r>
    </w:p>
    <w:p w14:paraId="438C20F2">
      <w:pPr>
        <w:widowControl/>
        <w:numPr>
          <w:ilvl w:val="0"/>
          <w:numId w:val="2"/>
        </w:numPr>
        <w:spacing w:before="100" w:beforeAutospacing="1" w:after="100" w:afterAutospacing="1"/>
        <w:jc w:val="left"/>
        <w:outlineLvl w:val="2"/>
        <w:rPr>
          <w:rFonts w:ascii="宋体" w:hAnsi="宋体" w:eastAsia="宋体" w:cs="宋体"/>
          <w:b/>
          <w:bCs/>
          <w:kern w:val="0"/>
          <w:sz w:val="27"/>
          <w:szCs w:val="27"/>
          <w14:ligatures w14:val="none"/>
        </w:rPr>
      </w:pPr>
      <w:r>
        <w:rPr>
          <w:rFonts w:ascii="宋体" w:hAnsi="宋体" w:eastAsia="宋体" w:cs="宋体"/>
          <w:b/>
          <w:bCs/>
          <w:kern w:val="0"/>
          <w:sz w:val="27"/>
          <w:szCs w:val="27"/>
          <w14:ligatures w14:val="none"/>
        </w:rPr>
        <w:t>建设目标</w:t>
      </w:r>
    </w:p>
    <w:p w14:paraId="2AD5BC59">
      <w:pPr>
        <w:widowControl/>
        <w:numPr>
          <w:ilvl w:val="0"/>
          <w:numId w:val="0"/>
        </w:numPr>
        <w:spacing w:before="100" w:beforeAutospacing="1" w:after="100" w:afterAutospacing="1"/>
        <w:jc w:val="left"/>
        <w:outlineLvl w:val="2"/>
        <w:rPr>
          <w:rFonts w:hint="default" w:ascii="宋体" w:hAnsi="宋体" w:eastAsia="宋体" w:cs="宋体"/>
          <w:b/>
          <w:bCs/>
          <w:kern w:val="0"/>
          <w:sz w:val="27"/>
          <w:szCs w:val="27"/>
          <w:lang w:val="en-US" w:eastAsia="zh-CN"/>
          <w14:ligatures w14:val="none"/>
        </w:rPr>
      </w:pPr>
      <w:r>
        <w:rPr>
          <w:rFonts w:hint="eastAsia" w:ascii="宋体" w:hAnsi="宋体" w:eastAsia="宋体" w:cs="宋体"/>
          <w:b/>
          <w:bCs/>
          <w:kern w:val="0"/>
          <w:sz w:val="27"/>
          <w:szCs w:val="27"/>
          <w:lang w:val="en-US" w:eastAsia="zh-CN"/>
          <w14:ligatures w14:val="none"/>
        </w:rPr>
        <w:t>考核、半年的比对、质控、人员资质、设备管理、仪器对接、报告发布</w:t>
      </w:r>
    </w:p>
    <w:p w14:paraId="71D8AF84">
      <w:pPr>
        <w:widowControl/>
        <w:numPr>
          <w:ilvl w:val="0"/>
          <w:numId w:val="3"/>
        </w:numPr>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短期目标（1-6 个月）：</w:t>
      </w:r>
    </w:p>
    <w:p w14:paraId="20D23F5C">
      <w:pPr>
        <w:widowControl/>
        <w:numPr>
          <w:ilvl w:val="0"/>
          <w:numId w:val="4"/>
        </w:numPr>
        <w:jc w:val="left"/>
        <w:rPr>
          <w:rFonts w:ascii="宋体" w:hAnsi="宋体" w:eastAsia="宋体" w:cs="宋体"/>
          <w:kern w:val="0"/>
          <w:sz w:val="24"/>
          <w:szCs w:val="24"/>
          <w14:ligatures w14:val="none"/>
        </w:rPr>
      </w:pPr>
      <w:r>
        <w:rPr>
          <w:rFonts w:ascii="宋体" w:hAnsi="宋体" w:eastAsia="宋体" w:cs="宋体"/>
          <w:b/>
          <w:bCs/>
          <w:kern w:val="0"/>
          <w:sz w:val="24"/>
          <w:szCs w:val="24"/>
          <w14:ligatures w14:val="none"/>
        </w:rPr>
        <w:t>核心模块落地</w:t>
      </w:r>
      <w:r>
        <w:rPr>
          <w:rFonts w:ascii="宋体" w:hAnsi="宋体" w:eastAsia="宋体" w:cs="宋体"/>
          <w:kern w:val="0"/>
          <w:sz w:val="24"/>
          <w:szCs w:val="24"/>
          <w14:ligatures w14:val="none"/>
        </w:rPr>
        <w:t>：完成样品全生命周</w:t>
      </w:r>
      <w:bookmarkStart w:id="0" w:name="_GoBack"/>
      <w:bookmarkEnd w:id="0"/>
      <w:r>
        <w:rPr>
          <w:rFonts w:ascii="宋体" w:hAnsi="宋体" w:eastAsia="宋体" w:cs="宋体"/>
          <w:kern w:val="0"/>
          <w:sz w:val="24"/>
          <w:szCs w:val="24"/>
          <w14:ligatures w14:val="none"/>
        </w:rPr>
        <w:t>期管理模块开发，实现从样品接收、存储、分发到处置的线上化闭环管理；搭建标准化实验流程管控平台，支持自定义实验流程配置与节点审批；开发数据采集与存储系统，兼容主流仪器设备数据接口协议，实现实验数据实时采集与结构化存储，快速实现实验室基础业务线上化操作</w:t>
      </w:r>
    </w:p>
    <w:p w14:paraId="3CD56F2F">
      <w:pPr>
        <w:widowControl/>
        <w:numPr>
          <w:ilvl w:val="0"/>
          <w:numId w:val="5"/>
        </w:numPr>
        <w:jc w:val="left"/>
        <w:rPr>
          <w:rFonts w:ascii="宋体" w:hAnsi="宋体" w:eastAsia="宋体" w:cs="宋体"/>
          <w:kern w:val="0"/>
          <w:sz w:val="24"/>
          <w:szCs w:val="24"/>
          <w14:ligatures w14:val="none"/>
        </w:rPr>
      </w:pPr>
      <w:r>
        <w:rPr>
          <w:rFonts w:ascii="宋体" w:hAnsi="宋体" w:eastAsia="宋体" w:cs="宋体"/>
          <w:b/>
          <w:bCs/>
          <w:kern w:val="0"/>
          <w:sz w:val="24"/>
          <w:szCs w:val="24"/>
          <w14:ligatures w14:val="none"/>
        </w:rPr>
        <w:t>数据对接</w:t>
      </w:r>
      <w:r>
        <w:rPr>
          <w:rFonts w:ascii="宋体" w:hAnsi="宋体" w:eastAsia="宋体" w:cs="宋体"/>
          <w:kern w:val="0"/>
          <w:sz w:val="24"/>
          <w:szCs w:val="24"/>
          <w14:ligatures w14:val="none"/>
        </w:rPr>
        <w:t>：采用 API 接口、中间件等技术，打通实验室现有仪器设备、LIMS 系统、</w:t>
      </w:r>
      <w:r>
        <w:rPr>
          <w:rFonts w:ascii="宋体" w:hAnsi="宋体" w:eastAsia="宋体" w:cs="宋体"/>
          <w:kern w:val="0"/>
          <w:sz w:val="24"/>
          <w:szCs w:val="24"/>
          <w:highlight w:val="yellow"/>
          <w14:ligatures w14:val="none"/>
        </w:rPr>
        <w:t>ERP 系统数据接口，构建统一数据中台。</w:t>
      </w:r>
      <w:r>
        <w:rPr>
          <w:rFonts w:ascii="宋体" w:hAnsi="宋体" w:eastAsia="宋体" w:cs="宋体"/>
          <w:kern w:val="0"/>
          <w:sz w:val="24"/>
          <w:szCs w:val="24"/>
          <w14:ligatures w14:val="none"/>
        </w:rPr>
        <w:t>通过 ETL 数据处理技术，实现多源异构数据的清洗、转换与实时交互，为数据整合与分析奠定基础</w:t>
      </w:r>
    </w:p>
    <w:p w14:paraId="631731D8">
      <w:pPr>
        <w:widowControl/>
        <w:numPr>
          <w:ilvl w:val="0"/>
          <w:numId w:val="6"/>
        </w:numPr>
        <w:jc w:val="left"/>
        <w:rPr>
          <w:rFonts w:ascii="宋体" w:hAnsi="宋体" w:eastAsia="宋体" w:cs="宋体"/>
          <w:kern w:val="0"/>
          <w:sz w:val="24"/>
          <w:szCs w:val="24"/>
          <w14:ligatures w14:val="none"/>
        </w:rPr>
      </w:pPr>
      <w:r>
        <w:rPr>
          <w:rFonts w:ascii="宋体" w:hAnsi="宋体" w:eastAsia="宋体" w:cs="宋体"/>
          <w:b/>
          <w:bCs/>
          <w:kern w:val="0"/>
          <w:sz w:val="24"/>
          <w:szCs w:val="24"/>
          <w14:ligatures w14:val="none"/>
        </w:rPr>
        <w:t>误差降低</w:t>
      </w:r>
      <w:r>
        <w:rPr>
          <w:rFonts w:ascii="宋体" w:hAnsi="宋体" w:eastAsia="宋体" w:cs="宋体"/>
          <w:kern w:val="0"/>
          <w:sz w:val="24"/>
          <w:szCs w:val="24"/>
          <w14:ligatures w14:val="none"/>
        </w:rPr>
        <w:t>：在系统中嵌入标准化流程配置模板，通过智能校验规则引擎实现数据格式校验、逻辑校验与范围校验。同时引入双重复核机制与错误预警功能，将实验数据录入误差率降低至 0.5% 以内</w:t>
      </w:r>
    </w:p>
    <w:p w14:paraId="0BE00829">
      <w:pPr>
        <w:widowControl/>
        <w:numPr>
          <w:ilvl w:val="0"/>
          <w:numId w:val="7"/>
        </w:numPr>
        <w:jc w:val="left"/>
        <w:rPr>
          <w:rFonts w:ascii="宋体" w:hAnsi="宋体" w:eastAsia="宋体" w:cs="宋体"/>
          <w:kern w:val="0"/>
          <w:sz w:val="24"/>
          <w:szCs w:val="24"/>
          <w14:ligatures w14:val="none"/>
        </w:rPr>
      </w:pPr>
      <w:r>
        <w:rPr>
          <w:rFonts w:ascii="宋体" w:hAnsi="宋体" w:eastAsia="宋体" w:cs="宋体"/>
          <w:b/>
          <w:bCs/>
          <w:kern w:val="0"/>
          <w:sz w:val="24"/>
          <w:szCs w:val="24"/>
          <w14:ligatures w14:val="none"/>
        </w:rPr>
        <w:t>合规达标</w:t>
      </w:r>
      <w:r>
        <w:rPr>
          <w:rFonts w:ascii="宋体" w:hAnsi="宋体" w:eastAsia="宋体" w:cs="宋体"/>
          <w:kern w:val="0"/>
          <w:sz w:val="24"/>
          <w:szCs w:val="24"/>
          <w14:ligatures w14:val="none"/>
        </w:rPr>
        <w:t>：根据 ISO 17025、GLP 等行业标准要求，在系统中内置质量管控体系流程与标准。组建专项团队完成系统合规性验证，收集整理相关材料，完成系统资质备案工作</w:t>
      </w:r>
    </w:p>
    <w:p w14:paraId="2CA5B475">
      <w:pPr>
        <w:widowControl/>
        <w:numPr>
          <w:ilvl w:val="0"/>
          <w:numId w:val="8"/>
        </w:numPr>
        <w:jc w:val="left"/>
        <w:rPr>
          <w:rFonts w:ascii="宋体" w:hAnsi="宋体" w:eastAsia="宋体" w:cs="宋体"/>
          <w:kern w:val="0"/>
          <w:sz w:val="24"/>
          <w:szCs w:val="24"/>
          <w14:ligatures w14:val="none"/>
        </w:rPr>
      </w:pPr>
      <w:r>
        <w:rPr>
          <w:rFonts w:hint="eastAsia" w:ascii="宋体" w:hAnsi="宋体" w:eastAsia="宋体" w:cs="宋体"/>
          <w:b/>
          <w:bCs/>
          <w:kern w:val="0"/>
          <w:sz w:val="24"/>
          <w:szCs w:val="24"/>
          <w14:ligatures w14:val="none"/>
        </w:rPr>
        <w:t>中台管理</w:t>
      </w:r>
      <w:r>
        <w:rPr>
          <w:rFonts w:ascii="宋体" w:hAnsi="宋体" w:eastAsia="宋体" w:cs="宋体"/>
          <w:b/>
          <w:bCs/>
          <w:kern w:val="0"/>
          <w:sz w:val="24"/>
          <w:szCs w:val="24"/>
          <w14:ligatures w14:val="none"/>
        </w:rPr>
        <w:t>：</w:t>
      </w:r>
      <w:r>
        <w:rPr>
          <w:rFonts w:ascii="宋体" w:hAnsi="宋体" w:eastAsia="宋体" w:cs="宋体"/>
          <w:kern w:val="0"/>
          <w:sz w:val="24"/>
          <w:szCs w:val="24"/>
          <w14:ligatures w14:val="none"/>
        </w:rPr>
        <w:t>院内中心管控设备运行状态，设备实验数据实时采集分析，与结构化存储形成管理报表依据。</w:t>
      </w:r>
    </w:p>
    <w:p w14:paraId="1B5D4256">
      <w:pPr>
        <w:widowControl/>
        <w:numPr>
          <w:ilvl w:val="0"/>
          <w:numId w:val="8"/>
        </w:numPr>
        <w:jc w:val="left"/>
        <w:rPr>
          <w:rFonts w:ascii="宋体" w:hAnsi="宋体" w:eastAsia="宋体" w:cs="宋体"/>
          <w:kern w:val="0"/>
          <w:sz w:val="24"/>
          <w:szCs w:val="24"/>
          <w14:ligatures w14:val="none"/>
        </w:rPr>
      </w:pPr>
    </w:p>
    <w:p w14:paraId="6C08C2BE">
      <w:pPr>
        <w:widowControl/>
        <w:numPr>
          <w:ilvl w:val="0"/>
          <w:numId w:val="3"/>
        </w:numPr>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长期目标（6-18 个月）：</w:t>
      </w:r>
    </w:p>
    <w:p w14:paraId="2723F5DA">
      <w:pPr>
        <w:widowControl/>
        <w:numPr>
          <w:ilvl w:val="0"/>
          <w:numId w:val="9"/>
        </w:numPr>
        <w:jc w:val="left"/>
        <w:rPr>
          <w:rFonts w:ascii="宋体" w:hAnsi="宋体" w:eastAsia="宋体" w:cs="宋体"/>
          <w:kern w:val="0"/>
          <w:sz w:val="24"/>
          <w:szCs w:val="24"/>
          <w14:ligatures w14:val="none"/>
        </w:rPr>
      </w:pPr>
      <w:r>
        <w:rPr>
          <w:rFonts w:ascii="宋体" w:hAnsi="宋体" w:eastAsia="宋体" w:cs="宋体"/>
          <w:b/>
          <w:bCs/>
          <w:kern w:val="0"/>
          <w:sz w:val="24"/>
          <w:szCs w:val="24"/>
          <w14:ligatures w14:val="none"/>
        </w:rPr>
        <w:t>全链路数据贯通</w:t>
      </w:r>
      <w:r>
        <w:rPr>
          <w:rFonts w:ascii="宋体" w:hAnsi="宋体" w:eastAsia="宋体" w:cs="宋体"/>
          <w:kern w:val="0"/>
          <w:sz w:val="24"/>
          <w:szCs w:val="24"/>
          <w14:ligatures w14:val="none"/>
        </w:rPr>
        <w:t>：构建端到端的数据流转通道，实现从样品登记、实验执行、结果分析到报告生成的全流程数据自动采集、传输与处理。建立完整的数据追溯体系，确保每个环节的数据可追溯、可审计，彻底消除数据孤岛</w:t>
      </w:r>
    </w:p>
    <w:p w14:paraId="299B655E">
      <w:pPr>
        <w:widowControl/>
        <w:numPr>
          <w:ilvl w:val="0"/>
          <w:numId w:val="10"/>
        </w:numPr>
        <w:jc w:val="left"/>
        <w:rPr>
          <w:rFonts w:ascii="宋体" w:hAnsi="宋体" w:eastAsia="宋体" w:cs="宋体"/>
          <w:kern w:val="0"/>
          <w:sz w:val="24"/>
          <w:szCs w:val="24"/>
          <w14:ligatures w14:val="none"/>
        </w:rPr>
      </w:pPr>
      <w:r>
        <w:rPr>
          <w:rFonts w:ascii="宋体" w:hAnsi="宋体" w:eastAsia="宋体" w:cs="宋体"/>
          <w:b/>
          <w:bCs/>
          <w:kern w:val="0"/>
          <w:sz w:val="24"/>
          <w:szCs w:val="24"/>
          <w14:ligatures w14:val="none"/>
        </w:rPr>
        <w:t>AI 决策支撑</w:t>
      </w:r>
      <w:r>
        <w:rPr>
          <w:rFonts w:ascii="宋体" w:hAnsi="宋体" w:eastAsia="宋体" w:cs="宋体"/>
          <w:kern w:val="0"/>
          <w:sz w:val="24"/>
          <w:szCs w:val="24"/>
          <w14:ligatures w14:val="none"/>
        </w:rPr>
        <w:t>：运用机器学习、深度学习等 AI 技术，基于历史实验数据训练智能预测模型。开发异常预警系统，实现实验过程中的风险预判；建立实验参数优化模型，提供最优实验方案建议；构建质量趋势预测系统，为质量管理提供前瞻性决策支持</w:t>
      </w:r>
    </w:p>
    <w:p w14:paraId="498C9154">
      <w:pPr>
        <w:widowControl/>
        <w:numPr>
          <w:ilvl w:val="0"/>
          <w:numId w:val="11"/>
        </w:numPr>
        <w:jc w:val="left"/>
        <w:rPr>
          <w:rFonts w:ascii="宋体" w:hAnsi="宋体" w:eastAsia="宋体" w:cs="宋体"/>
          <w:kern w:val="0"/>
          <w:sz w:val="24"/>
          <w:szCs w:val="24"/>
          <w14:ligatures w14:val="none"/>
        </w:rPr>
      </w:pPr>
      <w:r>
        <w:rPr>
          <w:rFonts w:ascii="宋体" w:hAnsi="宋体" w:eastAsia="宋体" w:cs="宋体"/>
          <w:b/>
          <w:bCs/>
          <w:kern w:val="0"/>
          <w:sz w:val="24"/>
          <w:szCs w:val="24"/>
          <w14:ligatures w14:val="none"/>
        </w:rPr>
        <w:t>数智化实验室转型</w:t>
      </w:r>
      <w:r>
        <w:rPr>
          <w:rFonts w:ascii="宋体" w:hAnsi="宋体" w:eastAsia="宋体" w:cs="宋体"/>
          <w:kern w:val="0"/>
          <w:sz w:val="24"/>
          <w:szCs w:val="24"/>
          <w14:ligatures w14:val="none"/>
        </w:rPr>
        <w:t>：通过系统集成与流程优化，构建 "数据驱动、智能协同" 的新型实验室管理模式。开发资源动态调度系统，实现仪器设备、人力资源等实验资源的智能分配；引入自动化实验技术，提升实验执行效率，最终实现实验效率提升 30% 以上</w:t>
      </w:r>
    </w:p>
    <w:p w14:paraId="30B0169D">
      <w:pPr>
        <w:widowControl/>
        <w:numPr>
          <w:ilvl w:val="0"/>
          <w:numId w:val="12"/>
        </w:numPr>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云平台建设：B/S架构构建相同功能平台</w:t>
      </w:r>
    </w:p>
    <w:p w14:paraId="6E60495E">
      <w:pPr>
        <w:widowControl/>
        <w:spacing w:before="100" w:beforeAutospacing="1" w:after="100" w:afterAutospacing="1"/>
        <w:jc w:val="left"/>
        <w:outlineLvl w:val="1"/>
        <w:rPr>
          <w:rFonts w:ascii="宋体" w:hAnsi="宋体" w:eastAsia="宋体" w:cs="宋体"/>
          <w:b/>
          <w:bCs/>
          <w:kern w:val="0"/>
          <w:sz w:val="36"/>
          <w:szCs w:val="36"/>
          <w14:ligatures w14:val="none"/>
        </w:rPr>
      </w:pPr>
      <w:r>
        <w:rPr>
          <w:rFonts w:ascii="宋体" w:hAnsi="宋体" w:eastAsia="宋体" w:cs="宋体"/>
          <w:b/>
          <w:bCs/>
          <w:kern w:val="0"/>
          <w:sz w:val="36"/>
          <w:szCs w:val="36"/>
          <w14:ligatures w14:val="none"/>
        </w:rPr>
        <w:t>二、核心建设原则</w:t>
      </w:r>
    </w:p>
    <w:p w14:paraId="7EEB8E29">
      <w:pPr>
        <w:widowControl/>
        <w:numPr>
          <w:ilvl w:val="0"/>
          <w:numId w:val="13"/>
        </w:numPr>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“全”：全场景覆盖（检验前 / 中 / 后、文件 / 记录 / 绩效 / 项目）</w:t>
      </w:r>
    </w:p>
    <w:p w14:paraId="2DB9B434">
      <w:pPr>
        <w:widowControl/>
        <w:numPr>
          <w:ilvl w:val="0"/>
          <w:numId w:val="13"/>
        </w:numPr>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“智”：AI 智能赋能（智能写作、数据自动分析、异常预警）</w:t>
      </w:r>
    </w:p>
    <w:p w14:paraId="48430BBA">
      <w:pPr>
        <w:widowControl/>
        <w:numPr>
          <w:ilvl w:val="0"/>
          <w:numId w:val="13"/>
        </w:numPr>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“敏”：灵活适配（流程定制、开放协作、个性化需求响应）</w:t>
      </w:r>
    </w:p>
    <w:p w14:paraId="4F25BA6F">
      <w:pPr>
        <w:widowControl/>
        <w:numPr>
          <w:ilvl w:val="0"/>
          <w:numId w:val="13"/>
        </w:numPr>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“简”：轻量化操作（人性化界面、一键功能、低学习成本）</w:t>
      </w:r>
    </w:p>
    <w:p w14:paraId="756E0252">
      <w:pPr>
        <w:widowControl/>
        <w:spacing w:before="100" w:beforeAutospacing="1" w:after="100" w:afterAutospacing="1"/>
        <w:jc w:val="left"/>
        <w:outlineLvl w:val="1"/>
        <w:rPr>
          <w:rFonts w:ascii="宋体" w:hAnsi="宋体" w:eastAsia="宋体" w:cs="宋体"/>
          <w:b/>
          <w:bCs/>
          <w:kern w:val="0"/>
          <w:sz w:val="36"/>
          <w:szCs w:val="36"/>
          <w14:ligatures w14:val="none"/>
        </w:rPr>
      </w:pPr>
      <w:r>
        <w:rPr>
          <w:rFonts w:ascii="宋体" w:hAnsi="宋体" w:eastAsia="宋体" w:cs="宋体"/>
          <w:b/>
          <w:bCs/>
          <w:kern w:val="0"/>
          <w:sz w:val="36"/>
          <w:szCs w:val="36"/>
          <w14:ligatures w14:val="none"/>
        </w:rPr>
        <w:t>三、核心建设内容</w:t>
      </w:r>
    </w:p>
    <w:p w14:paraId="185C075E">
      <w:pPr>
        <w:widowControl/>
        <w:spacing w:before="100" w:beforeAutospacing="1" w:after="100" w:afterAutospacing="1"/>
        <w:jc w:val="left"/>
        <w:outlineLvl w:val="2"/>
        <w:rPr>
          <w:rFonts w:ascii="宋体" w:hAnsi="宋体" w:eastAsia="宋体" w:cs="宋体"/>
          <w:b/>
          <w:bCs/>
          <w:kern w:val="0"/>
          <w:sz w:val="27"/>
          <w:szCs w:val="27"/>
          <w14:ligatures w14:val="none"/>
        </w:rPr>
      </w:pPr>
      <w:r>
        <w:rPr>
          <w:rFonts w:ascii="宋体" w:hAnsi="宋体" w:eastAsia="宋体" w:cs="宋体"/>
          <w:b/>
          <w:bCs/>
          <w:kern w:val="0"/>
          <w:sz w:val="27"/>
          <w:szCs w:val="27"/>
          <w14:ligatures w14:val="none"/>
        </w:rPr>
        <w:t>（一）“全” 维度：全场景数据管理模块</w:t>
      </w:r>
    </w:p>
    <w:p w14:paraId="1D935321">
      <w:pPr>
        <w:widowControl/>
        <w:numPr>
          <w:ilvl w:val="0"/>
          <w:numId w:val="14"/>
        </w:numPr>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文件慧管（版本管控、检索、权限分配）</w:t>
      </w:r>
    </w:p>
    <w:p w14:paraId="37E8D262">
      <w:pPr>
        <w:widowControl/>
        <w:numPr>
          <w:ilvl w:val="0"/>
          <w:numId w:val="14"/>
        </w:numPr>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电子记录（全环节数据录入、LIS 联动、不可篡改追溯）</w:t>
      </w:r>
    </w:p>
    <w:p w14:paraId="79DBD8AF">
      <w:pPr>
        <w:widowControl/>
        <w:numPr>
          <w:ilvl w:val="0"/>
          <w:numId w:val="14"/>
        </w:numPr>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智能排班（岗位 / 时段 / 资质匹配、请假调班审批）</w:t>
      </w:r>
    </w:p>
    <w:p w14:paraId="02149EAD">
      <w:pPr>
        <w:widowControl/>
        <w:numPr>
          <w:ilvl w:val="0"/>
          <w:numId w:val="14"/>
        </w:numPr>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积分绩效（业务指标关联、自动统计、报表生成）</w:t>
      </w:r>
    </w:p>
    <w:p w14:paraId="6C17F1F1">
      <w:pPr>
        <w:widowControl/>
        <w:numPr>
          <w:ilvl w:val="0"/>
          <w:numId w:val="14"/>
        </w:numPr>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项目管理（项目全生命周期管控、验证分析、进度预警）</w:t>
      </w:r>
    </w:p>
    <w:p w14:paraId="6DA99300">
      <w:pPr>
        <w:widowControl/>
        <w:numPr>
          <w:ilvl w:val="0"/>
          <w:numId w:val="14"/>
        </w:numPr>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覆盖95%以上设备运行状态</w:t>
      </w:r>
    </w:p>
    <w:p w14:paraId="1D795FDD">
      <w:pPr>
        <w:widowControl/>
        <w:spacing w:before="100" w:beforeAutospacing="1" w:after="100" w:afterAutospacing="1"/>
        <w:jc w:val="left"/>
        <w:outlineLvl w:val="2"/>
        <w:rPr>
          <w:rFonts w:ascii="宋体" w:hAnsi="宋体" w:eastAsia="宋体" w:cs="宋体"/>
          <w:b/>
          <w:bCs/>
          <w:kern w:val="0"/>
          <w:sz w:val="27"/>
          <w:szCs w:val="27"/>
          <w14:ligatures w14:val="none"/>
        </w:rPr>
      </w:pPr>
      <w:r>
        <w:rPr>
          <w:rFonts w:ascii="宋体" w:hAnsi="宋体" w:eastAsia="宋体" w:cs="宋体"/>
          <w:b/>
          <w:bCs/>
          <w:kern w:val="0"/>
          <w:sz w:val="27"/>
          <w:szCs w:val="27"/>
          <w14:ligatures w14:val="none"/>
        </w:rPr>
        <w:t>（二）“智” 维度：AI 智能驱动模块</w:t>
      </w:r>
    </w:p>
    <w:p w14:paraId="545F544F">
      <w:pPr>
        <w:widowControl/>
        <w:numPr>
          <w:ilvl w:val="0"/>
          <w:numId w:val="15"/>
        </w:numPr>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智能写作助手（质量报告、项目文档自动生成）</w:t>
      </w:r>
    </w:p>
    <w:p w14:paraId="68324F49">
      <w:pPr>
        <w:widowControl/>
        <w:numPr>
          <w:ilvl w:val="0"/>
          <w:numId w:val="15"/>
        </w:numPr>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智能项目总结（数据可视化分析、流程优化建议）</w:t>
      </w:r>
    </w:p>
    <w:p w14:paraId="6D1895A2">
      <w:pPr>
        <w:widowControl/>
        <w:numPr>
          <w:ilvl w:val="0"/>
          <w:numId w:val="15"/>
        </w:numPr>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异常智能预警（质控数据、项目进度异常实时提醒）</w:t>
      </w:r>
    </w:p>
    <w:p w14:paraId="63315A31">
      <w:pPr>
        <w:pStyle w:val="11"/>
        <w:widowControl/>
        <w:numPr>
          <w:ilvl w:val="1"/>
          <w:numId w:val="15"/>
        </w:numPr>
        <w:spacing w:before="100" w:beforeAutospacing="1" w:after="100" w:afterAutospacing="1"/>
        <w:ind w:left="851" w:hanging="851" w:firstLineChars="0"/>
        <w:jc w:val="left"/>
        <w:outlineLvl w:val="2"/>
        <w:rPr>
          <w:rFonts w:ascii="宋体" w:hAnsi="宋体" w:eastAsia="宋体" w:cs="宋体"/>
          <w:b/>
          <w:bCs/>
          <w:kern w:val="0"/>
          <w:sz w:val="27"/>
          <w:szCs w:val="27"/>
          <w14:ligatures w14:val="none"/>
        </w:rPr>
      </w:pPr>
      <w:r>
        <w:rPr>
          <w:rFonts w:ascii="宋体" w:hAnsi="宋体" w:eastAsia="宋体" w:cs="宋体"/>
          <w:b/>
          <w:bCs/>
          <w:kern w:val="0"/>
          <w:sz w:val="27"/>
          <w:szCs w:val="27"/>
          <w14:ligatures w14:val="none"/>
        </w:rPr>
        <w:t>“敏” 维度：灵活化流程与协作模块</w:t>
      </w:r>
    </w:p>
    <w:p w14:paraId="7659F644">
      <w:pPr>
        <w:widowControl/>
        <w:numPr>
          <w:ilvl w:val="0"/>
          <w:numId w:val="16"/>
        </w:numPr>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流程定制（可视化配置、无代码新增字段 / 流程）</w:t>
      </w:r>
    </w:p>
    <w:p w14:paraId="6906CFD5">
      <w:pPr>
        <w:widowControl/>
        <w:numPr>
          <w:ilvl w:val="0"/>
          <w:numId w:val="16"/>
        </w:numPr>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开放协作（跨科室 / 外部数据共享、多人协同编辑）</w:t>
      </w:r>
    </w:p>
    <w:p w14:paraId="4560124B">
      <w:pPr>
        <w:widowControl/>
        <w:spacing w:before="100" w:beforeAutospacing="1" w:after="100" w:afterAutospacing="1"/>
        <w:jc w:val="left"/>
        <w:outlineLvl w:val="2"/>
        <w:rPr>
          <w:rFonts w:ascii="宋体" w:hAnsi="宋体" w:eastAsia="宋体" w:cs="宋体"/>
          <w:b/>
          <w:bCs/>
          <w:kern w:val="0"/>
          <w:sz w:val="27"/>
          <w:szCs w:val="27"/>
          <w14:ligatures w14:val="none"/>
        </w:rPr>
      </w:pPr>
      <w:r>
        <w:rPr>
          <w:rFonts w:ascii="宋体" w:hAnsi="宋体" w:eastAsia="宋体" w:cs="宋体"/>
          <w:b/>
          <w:bCs/>
          <w:kern w:val="0"/>
          <w:sz w:val="27"/>
          <w:szCs w:val="27"/>
          <w14:ligatures w14:val="none"/>
        </w:rPr>
        <w:t>（四）“简” 维度：轻量化操作与交互模块</w:t>
      </w:r>
    </w:p>
    <w:p w14:paraId="11AAA103">
      <w:pPr>
        <w:widowControl/>
        <w:numPr>
          <w:ilvl w:val="0"/>
          <w:numId w:val="17"/>
        </w:numPr>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人性化界面（岗位定制仪表盘、核心指标直观展示）</w:t>
      </w:r>
    </w:p>
    <w:p w14:paraId="59EFBACB">
      <w:pPr>
        <w:widowControl/>
        <w:numPr>
          <w:ilvl w:val="0"/>
          <w:numId w:val="18"/>
        </w:numPr>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简化操作（一键导出、扫码关联、新手引导）</w:t>
      </w:r>
    </w:p>
    <w:p w14:paraId="5CDDDB41">
      <w:pPr>
        <w:widowControl/>
        <w:spacing w:before="100" w:beforeAutospacing="1" w:after="100" w:afterAutospacing="1"/>
        <w:jc w:val="left"/>
        <w:outlineLvl w:val="2"/>
        <w:rPr>
          <w:rFonts w:ascii="宋体" w:hAnsi="宋体" w:eastAsia="宋体" w:cs="宋体"/>
          <w:b/>
          <w:bCs/>
          <w:kern w:val="0"/>
          <w:sz w:val="27"/>
          <w:szCs w:val="27"/>
          <w14:ligatures w14:val="none"/>
        </w:rPr>
      </w:pPr>
      <w:r>
        <w:rPr>
          <w:rFonts w:ascii="宋体" w:hAnsi="宋体" w:eastAsia="宋体" w:cs="宋体"/>
          <w:b/>
          <w:bCs/>
          <w:kern w:val="0"/>
          <w:sz w:val="27"/>
          <w:szCs w:val="27"/>
          <w14:ligatures w14:val="none"/>
        </w:rPr>
        <w:t>（五）数据对接与集成</w:t>
      </w:r>
    </w:p>
    <w:p w14:paraId="463140D4">
      <w:pPr>
        <w:widowControl/>
        <w:numPr>
          <w:ilvl w:val="0"/>
          <w:numId w:val="19"/>
        </w:numPr>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与现有系统对接（LIS、HR、设备数据双向通讯）</w:t>
      </w:r>
    </w:p>
    <w:p w14:paraId="6A90D44A">
      <w:pPr>
        <w:widowControl/>
        <w:numPr>
          <w:ilvl w:val="0"/>
          <w:numId w:val="19"/>
        </w:numPr>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数据安全体系（加密、权限分级、日志审计）</w:t>
      </w:r>
    </w:p>
    <w:p w14:paraId="512CFB77">
      <w:pPr>
        <w:widowControl/>
        <w:spacing w:before="100" w:beforeAutospacing="1" w:after="100" w:afterAutospacing="1"/>
        <w:jc w:val="left"/>
        <w:outlineLvl w:val="1"/>
        <w:rPr>
          <w:rFonts w:ascii="宋体" w:hAnsi="宋体" w:eastAsia="宋体" w:cs="宋体"/>
          <w:b/>
          <w:bCs/>
          <w:kern w:val="0"/>
          <w:sz w:val="36"/>
          <w:szCs w:val="36"/>
          <w14:ligatures w14:val="none"/>
        </w:rPr>
      </w:pPr>
      <w:r>
        <w:rPr>
          <w:rFonts w:ascii="宋体" w:hAnsi="宋体" w:eastAsia="宋体" w:cs="宋体"/>
          <w:b/>
          <w:bCs/>
          <w:kern w:val="0"/>
          <w:sz w:val="36"/>
          <w:szCs w:val="36"/>
          <w14:ligatures w14:val="none"/>
        </w:rPr>
        <w:t>四、实施规划（总周期 12 个月）</w:t>
      </w:r>
    </w:p>
    <w:p w14:paraId="45B7E33D">
      <w:pPr>
        <w:widowControl/>
        <w:numPr>
          <w:ilvl w:val="0"/>
          <w:numId w:val="20"/>
        </w:numPr>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需求调研与规划阶段（第 1-2 个月）：需求访谈、方案细化、项目组组建</w:t>
      </w:r>
    </w:p>
    <w:p w14:paraId="3A95814A">
      <w:pPr>
        <w:widowControl/>
        <w:numPr>
          <w:ilvl w:val="0"/>
          <w:numId w:val="20"/>
        </w:numPr>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系统开发与配置阶段（第 3-6 个月）：模块开发、接口配置、测试环境搭建</w:t>
      </w:r>
    </w:p>
    <w:p w14:paraId="148DBD77">
      <w:pPr>
        <w:widowControl/>
        <w:numPr>
          <w:ilvl w:val="0"/>
          <w:numId w:val="20"/>
        </w:numPr>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测试与优化阶段（第 7-8 个月）：功能测试、数据对接测试、反馈优化</w:t>
      </w:r>
    </w:p>
    <w:p w14:paraId="1CAA3FF2">
      <w:pPr>
        <w:widowControl/>
        <w:numPr>
          <w:ilvl w:val="0"/>
          <w:numId w:val="20"/>
        </w:numPr>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培训与上线阶段（第 9-10 个月）：分层培训、试点运行、全实验室上线</w:t>
      </w:r>
    </w:p>
    <w:p w14:paraId="4A63E5DB">
      <w:pPr>
        <w:widowControl/>
        <w:numPr>
          <w:ilvl w:val="0"/>
          <w:numId w:val="20"/>
        </w:numPr>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运维与迭代阶段（第 11-12 个月及以后）：技术支持、季度迭代、年度复盘</w:t>
      </w:r>
    </w:p>
    <w:p w14:paraId="7575CC36">
      <w:pPr>
        <w:widowControl/>
        <w:spacing w:before="100" w:beforeAutospacing="1" w:after="100" w:afterAutospacing="1"/>
        <w:jc w:val="left"/>
        <w:outlineLvl w:val="1"/>
        <w:rPr>
          <w:rFonts w:ascii="宋体" w:hAnsi="宋体" w:eastAsia="宋体" w:cs="宋体"/>
          <w:b/>
          <w:bCs/>
          <w:kern w:val="0"/>
          <w:sz w:val="36"/>
          <w:szCs w:val="36"/>
          <w14:ligatures w14:val="none"/>
        </w:rPr>
      </w:pPr>
      <w:r>
        <w:rPr>
          <w:rFonts w:ascii="宋体" w:hAnsi="宋体" w:eastAsia="宋体" w:cs="宋体"/>
          <w:b/>
          <w:bCs/>
          <w:kern w:val="0"/>
          <w:sz w:val="36"/>
          <w:szCs w:val="36"/>
          <w14:ligatures w14:val="none"/>
        </w:rPr>
        <w:t>五、保障体系</w:t>
      </w:r>
    </w:p>
    <w:p w14:paraId="432822A9">
      <w:pPr>
        <w:widowControl/>
        <w:numPr>
          <w:ilvl w:val="0"/>
          <w:numId w:val="21"/>
        </w:numPr>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技术保障：基础设施（服务器 / 存储 / 网络）、数据安全防护</w:t>
      </w:r>
    </w:p>
    <w:p w14:paraId="75C68EB9">
      <w:pPr>
        <w:widowControl/>
        <w:numPr>
          <w:ilvl w:val="0"/>
          <w:numId w:val="21"/>
        </w:numPr>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人员保障：专项团队（负责人 / 技术对接人 / 用户代表）、考核激励</w:t>
      </w:r>
    </w:p>
    <w:p w14:paraId="5D5E4D89">
      <w:pPr>
        <w:widowControl/>
        <w:numPr>
          <w:ilvl w:val="0"/>
          <w:numId w:val="21"/>
        </w:numPr>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制度保障：使用规范、运维管理制度</w:t>
      </w:r>
    </w:p>
    <w:p w14:paraId="05D16434">
      <w:pPr>
        <w:widowControl/>
        <w:numPr>
          <w:ilvl w:val="0"/>
          <w:numId w:val="21"/>
        </w:numPr>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售后保障：7×24 小时支持、年度维护、定期巡检与升级</w:t>
      </w:r>
    </w:p>
    <w:p w14:paraId="4CFDD3CA">
      <w:pPr>
        <w:widowControl/>
        <w:spacing w:before="100" w:beforeAutospacing="1" w:after="100" w:afterAutospacing="1"/>
        <w:jc w:val="left"/>
        <w:outlineLvl w:val="1"/>
        <w:rPr>
          <w:rFonts w:ascii="宋体" w:hAnsi="宋体" w:eastAsia="宋体" w:cs="宋体"/>
          <w:b/>
          <w:bCs/>
          <w:kern w:val="0"/>
          <w:sz w:val="36"/>
          <w:szCs w:val="36"/>
          <w14:ligatures w14:val="none"/>
        </w:rPr>
      </w:pPr>
      <w:r>
        <w:rPr>
          <w:rFonts w:ascii="宋体" w:hAnsi="宋体" w:eastAsia="宋体" w:cs="宋体"/>
          <w:b/>
          <w:bCs/>
          <w:kern w:val="0"/>
          <w:sz w:val="36"/>
          <w:szCs w:val="36"/>
          <w14:ligatures w14:val="none"/>
        </w:rPr>
        <w:t>六、预期效益</w:t>
      </w:r>
    </w:p>
    <w:p w14:paraId="40B2CF5D">
      <w:pPr>
        <w:widowControl/>
        <w:numPr>
          <w:ilvl w:val="0"/>
          <w:numId w:val="22"/>
        </w:numPr>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质量效益：误差率降低≥30%、合规达标（ISO 15189 等）</w:t>
      </w:r>
    </w:p>
    <w:p w14:paraId="26C9FA9A">
      <w:pPr>
        <w:widowControl/>
        <w:numPr>
          <w:ilvl w:val="0"/>
          <w:numId w:val="22"/>
        </w:numPr>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效率效益：人工工作量减少≥200 小时 / 人 / 年、项目落地周期缩短 30%</w:t>
      </w:r>
    </w:p>
    <w:p w14:paraId="2D9FBB4A">
      <w:pPr>
        <w:widowControl/>
        <w:numPr>
          <w:ilvl w:val="0"/>
          <w:numId w:val="22"/>
        </w:numPr>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管理效益：数据驱动决策、绩效核算自动化</w:t>
      </w:r>
    </w:p>
    <w:p w14:paraId="63E0DB73">
      <w:pPr>
        <w:widowControl/>
        <w:numPr>
          <w:ilvl w:val="0"/>
          <w:numId w:val="22"/>
        </w:numPr>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战略效益：支撑检验结果互认、推动数智化转型</w:t>
      </w:r>
    </w:p>
    <w:p w14:paraId="444FB540">
      <w:pPr>
        <w:widowControl/>
        <w:numPr>
          <w:ilvl w:val="0"/>
          <w:numId w:val="22"/>
        </w:numPr>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七、开发费用预算与成本估算</w:t>
      </w:r>
    </w:p>
    <w:p w14:paraId="40E9365C">
      <w:pPr>
        <w:widowControl/>
        <w:numPr>
          <w:ilvl w:val="0"/>
          <w:numId w:val="22"/>
        </w:numPr>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本部分从人员成本、技术资源投入、第三方服务采购、其他费用等维度对实验室全面质量管理平台软件建设费用进行全面预估，具体如下：</w:t>
      </w:r>
    </w:p>
    <w:p w14:paraId="4DD746A8">
      <w:pPr>
        <w:widowControl/>
        <w:spacing w:before="100" w:beforeAutospacing="1" w:after="100" w:afterAutospacing="1"/>
        <w:jc w:val="left"/>
        <w:outlineLvl w:val="2"/>
        <w:rPr>
          <w:rFonts w:ascii="宋体" w:hAnsi="宋体" w:eastAsia="宋体" w:cs="宋体"/>
          <w:b/>
          <w:bCs/>
          <w:kern w:val="0"/>
          <w:sz w:val="27"/>
          <w:szCs w:val="27"/>
          <w14:ligatures w14:val="none"/>
        </w:rPr>
      </w:pPr>
      <w:r>
        <w:rPr>
          <w:rFonts w:ascii="宋体" w:hAnsi="宋体" w:eastAsia="宋体" w:cs="宋体"/>
          <w:b/>
          <w:bCs/>
          <w:kern w:val="0"/>
          <w:sz w:val="27"/>
          <w:szCs w:val="27"/>
          <w14:ligatures w14:val="none"/>
        </w:rPr>
        <w:t>1. 人员成本</w:t>
      </w:r>
    </w:p>
    <w:p w14:paraId="56BE6FB3">
      <w:pPr>
        <w:widowControl/>
        <w:numPr>
          <w:ilvl w:val="0"/>
          <w:numId w:val="23"/>
        </w:numPr>
        <w:jc w:val="left"/>
        <w:rPr>
          <w:rFonts w:ascii="宋体" w:hAnsi="宋体" w:eastAsia="宋体" w:cs="宋体"/>
          <w:kern w:val="0"/>
          <w:sz w:val="24"/>
          <w:szCs w:val="24"/>
          <w14:ligatures w14:val="none"/>
        </w:rPr>
      </w:pPr>
      <w:r>
        <w:rPr>
          <w:rFonts w:ascii="宋体" w:hAnsi="宋体" w:eastAsia="宋体" w:cs="宋体"/>
          <w:b/>
          <w:bCs/>
          <w:kern w:val="0"/>
          <w:sz w:val="24"/>
          <w:szCs w:val="24"/>
          <w14:ligatures w14:val="none"/>
        </w:rPr>
        <w:t>开发团队</w:t>
      </w:r>
      <w:r>
        <w:rPr>
          <w:rFonts w:ascii="宋体" w:hAnsi="宋体" w:eastAsia="宋体" w:cs="宋体"/>
          <w:kern w:val="0"/>
          <w:sz w:val="24"/>
          <w:szCs w:val="24"/>
          <w14:ligatures w14:val="none"/>
        </w:rPr>
        <w:t>：项目周期预计 [X] 个月，需配备项目经理 1 名、系统架构师 1 名、前端开发工程师 [X] 名、后端开发工程师 [X] 名、测试工程师 [X] 名。按市场平均薪资水平估算，开发团队总人力成本约 [X] 万元。</w:t>
      </w:r>
    </w:p>
    <w:p w14:paraId="62D0099B">
      <w:pPr>
        <w:widowControl/>
        <w:numPr>
          <w:ilvl w:val="0"/>
          <w:numId w:val="24"/>
        </w:numPr>
        <w:jc w:val="left"/>
        <w:rPr>
          <w:rFonts w:ascii="宋体" w:hAnsi="宋体" w:eastAsia="宋体" w:cs="宋体"/>
          <w:kern w:val="0"/>
          <w:sz w:val="24"/>
          <w:szCs w:val="24"/>
          <w14:ligatures w14:val="none"/>
        </w:rPr>
      </w:pPr>
      <w:r>
        <w:rPr>
          <w:rFonts w:ascii="宋体" w:hAnsi="宋体" w:eastAsia="宋体" w:cs="宋体"/>
          <w:b/>
          <w:bCs/>
          <w:kern w:val="0"/>
          <w:sz w:val="24"/>
          <w:szCs w:val="24"/>
          <w14:ligatures w14:val="none"/>
        </w:rPr>
        <w:t>需求调研与业务专家</w:t>
      </w:r>
      <w:r>
        <w:rPr>
          <w:rFonts w:ascii="宋体" w:hAnsi="宋体" w:eastAsia="宋体" w:cs="宋体"/>
          <w:kern w:val="0"/>
          <w:sz w:val="24"/>
          <w:szCs w:val="24"/>
          <w14:ligatures w14:val="none"/>
        </w:rPr>
        <w:t>：邀请实验室领域业务专家进行需求调研与评审，预估费用 [X] 万元。</w:t>
      </w:r>
    </w:p>
    <w:p w14:paraId="620D6882">
      <w:pPr>
        <w:widowControl/>
        <w:spacing w:before="100" w:beforeAutospacing="1" w:after="100" w:afterAutospacing="1"/>
        <w:jc w:val="left"/>
        <w:outlineLvl w:val="2"/>
        <w:rPr>
          <w:rFonts w:ascii="宋体" w:hAnsi="宋体" w:eastAsia="宋体" w:cs="宋体"/>
          <w:b/>
          <w:bCs/>
          <w:kern w:val="0"/>
          <w:sz w:val="27"/>
          <w:szCs w:val="27"/>
          <w14:ligatures w14:val="none"/>
        </w:rPr>
      </w:pPr>
      <w:r>
        <w:rPr>
          <w:rFonts w:ascii="宋体" w:hAnsi="宋体" w:eastAsia="宋体" w:cs="宋体"/>
          <w:b/>
          <w:bCs/>
          <w:kern w:val="0"/>
          <w:sz w:val="27"/>
          <w:szCs w:val="27"/>
          <w14:ligatures w14:val="none"/>
        </w:rPr>
        <w:t>2. 技术资源投入</w:t>
      </w:r>
    </w:p>
    <w:p w14:paraId="376F1DF7">
      <w:pPr>
        <w:widowControl/>
        <w:numPr>
          <w:ilvl w:val="0"/>
          <w:numId w:val="25"/>
        </w:numPr>
        <w:jc w:val="left"/>
        <w:rPr>
          <w:rFonts w:ascii="宋体" w:hAnsi="宋体" w:eastAsia="宋体" w:cs="宋体"/>
          <w:kern w:val="0"/>
          <w:sz w:val="24"/>
          <w:szCs w:val="24"/>
          <w14:ligatures w14:val="none"/>
        </w:rPr>
      </w:pPr>
      <w:r>
        <w:rPr>
          <w:rFonts w:ascii="宋体" w:hAnsi="宋体" w:eastAsia="宋体" w:cs="宋体"/>
          <w:b/>
          <w:bCs/>
          <w:kern w:val="0"/>
          <w:sz w:val="24"/>
          <w:szCs w:val="24"/>
          <w14:ligatures w14:val="none"/>
        </w:rPr>
        <w:t>服务器与云资源</w:t>
      </w:r>
      <w:r>
        <w:rPr>
          <w:rFonts w:ascii="宋体" w:hAnsi="宋体" w:eastAsia="宋体" w:cs="宋体"/>
          <w:kern w:val="0"/>
          <w:sz w:val="24"/>
          <w:szCs w:val="24"/>
          <w14:ligatures w14:val="none"/>
        </w:rPr>
        <w:t>：项目前期采用云服务器部署，预估首年云服务费用 [X] 万元；后期根据业务规模扩展，硬件采购及维护费用约 [X] 万元。</w:t>
      </w:r>
    </w:p>
    <w:p w14:paraId="3CDD654C">
      <w:pPr>
        <w:widowControl/>
        <w:numPr>
          <w:ilvl w:val="0"/>
          <w:numId w:val="26"/>
        </w:numPr>
        <w:jc w:val="left"/>
        <w:rPr>
          <w:rFonts w:ascii="宋体" w:hAnsi="宋体" w:eastAsia="宋体" w:cs="宋体"/>
          <w:kern w:val="0"/>
          <w:sz w:val="24"/>
          <w:szCs w:val="24"/>
          <w14:ligatures w14:val="none"/>
        </w:rPr>
      </w:pPr>
      <w:r>
        <w:rPr>
          <w:rFonts w:ascii="宋体" w:hAnsi="宋体" w:eastAsia="宋体" w:cs="宋体"/>
          <w:b/>
          <w:bCs/>
          <w:kern w:val="0"/>
          <w:sz w:val="24"/>
          <w:szCs w:val="24"/>
          <w14:ligatures w14:val="none"/>
        </w:rPr>
        <w:t>开发工具与软件授权</w:t>
      </w:r>
      <w:r>
        <w:rPr>
          <w:rFonts w:ascii="宋体" w:hAnsi="宋体" w:eastAsia="宋体" w:cs="宋体"/>
          <w:kern w:val="0"/>
          <w:sz w:val="24"/>
          <w:szCs w:val="24"/>
          <w14:ligatures w14:val="none"/>
        </w:rPr>
        <w:t>：购买专业开发工具、数据库软件授权等，预计费用 [X] 万元。</w:t>
      </w:r>
    </w:p>
    <w:p w14:paraId="1483E2EA">
      <w:pPr>
        <w:widowControl/>
        <w:spacing w:before="100" w:beforeAutospacing="1" w:after="100" w:afterAutospacing="1"/>
        <w:jc w:val="left"/>
        <w:outlineLvl w:val="2"/>
        <w:rPr>
          <w:rFonts w:ascii="宋体" w:hAnsi="宋体" w:eastAsia="宋体" w:cs="宋体"/>
          <w:b/>
          <w:bCs/>
          <w:kern w:val="0"/>
          <w:sz w:val="27"/>
          <w:szCs w:val="27"/>
          <w14:ligatures w14:val="none"/>
        </w:rPr>
      </w:pPr>
      <w:r>
        <w:rPr>
          <w:rFonts w:ascii="宋体" w:hAnsi="宋体" w:eastAsia="宋体" w:cs="宋体"/>
          <w:b/>
          <w:bCs/>
          <w:kern w:val="0"/>
          <w:sz w:val="27"/>
          <w:szCs w:val="27"/>
          <w14:ligatures w14:val="none"/>
        </w:rPr>
        <w:t>3. 第三方服务采购</w:t>
      </w:r>
    </w:p>
    <w:p w14:paraId="22A4D75E">
      <w:pPr>
        <w:widowControl/>
        <w:numPr>
          <w:ilvl w:val="0"/>
          <w:numId w:val="27"/>
        </w:numPr>
        <w:jc w:val="left"/>
        <w:rPr>
          <w:rFonts w:ascii="宋体" w:hAnsi="宋体" w:eastAsia="宋体" w:cs="宋体"/>
          <w:kern w:val="0"/>
          <w:sz w:val="24"/>
          <w:szCs w:val="24"/>
          <w14:ligatures w14:val="none"/>
        </w:rPr>
      </w:pPr>
      <w:r>
        <w:rPr>
          <w:rFonts w:ascii="宋体" w:hAnsi="宋体" w:eastAsia="宋体" w:cs="宋体"/>
          <w:b/>
          <w:bCs/>
          <w:kern w:val="0"/>
          <w:sz w:val="24"/>
          <w:szCs w:val="24"/>
          <w14:ligatures w14:val="none"/>
        </w:rPr>
        <w:t>数据安全服务</w:t>
      </w:r>
      <w:r>
        <w:rPr>
          <w:rFonts w:ascii="宋体" w:hAnsi="宋体" w:eastAsia="宋体" w:cs="宋体"/>
          <w:kern w:val="0"/>
          <w:sz w:val="24"/>
          <w:szCs w:val="24"/>
          <w14:ligatures w14:val="none"/>
        </w:rPr>
        <w:t>：引入第三方数据安全防护方案，包含渗透测试、安全加固等服务，费用约 [X] 万元。</w:t>
      </w:r>
    </w:p>
    <w:p w14:paraId="28E6F902">
      <w:pPr>
        <w:widowControl/>
        <w:numPr>
          <w:ilvl w:val="0"/>
          <w:numId w:val="28"/>
        </w:numPr>
        <w:jc w:val="left"/>
        <w:rPr>
          <w:rFonts w:ascii="宋体" w:hAnsi="宋体" w:eastAsia="宋体" w:cs="宋体"/>
          <w:kern w:val="0"/>
          <w:sz w:val="24"/>
          <w:szCs w:val="24"/>
          <w14:ligatures w14:val="none"/>
        </w:rPr>
      </w:pPr>
      <w:r>
        <w:rPr>
          <w:rFonts w:ascii="宋体" w:hAnsi="宋体" w:eastAsia="宋体" w:cs="宋体"/>
          <w:b/>
          <w:bCs/>
          <w:kern w:val="0"/>
          <w:sz w:val="24"/>
          <w:szCs w:val="24"/>
          <w14:ligatures w14:val="none"/>
        </w:rPr>
        <w:t>数据接口对接</w:t>
      </w:r>
      <w:r>
        <w:rPr>
          <w:rFonts w:ascii="宋体" w:hAnsi="宋体" w:eastAsia="宋体" w:cs="宋体"/>
          <w:kern w:val="0"/>
          <w:sz w:val="24"/>
          <w:szCs w:val="24"/>
          <w14:ligatures w14:val="none"/>
        </w:rPr>
        <w:t>：与实验室现有仪器设备、管理系统进行数据对接，第三方接口开发与调试费用约 [X] 万元。</w:t>
      </w:r>
    </w:p>
    <w:p w14:paraId="3FEB7C9F">
      <w:pPr>
        <w:widowControl/>
        <w:spacing w:before="100" w:beforeAutospacing="1" w:after="100" w:afterAutospacing="1"/>
        <w:jc w:val="left"/>
        <w:outlineLvl w:val="2"/>
        <w:rPr>
          <w:rFonts w:ascii="宋体" w:hAnsi="宋体" w:eastAsia="宋体" w:cs="宋体"/>
          <w:b/>
          <w:bCs/>
          <w:kern w:val="0"/>
          <w:sz w:val="27"/>
          <w:szCs w:val="27"/>
          <w14:ligatures w14:val="none"/>
        </w:rPr>
      </w:pPr>
      <w:r>
        <w:rPr>
          <w:rFonts w:ascii="宋体" w:hAnsi="宋体" w:eastAsia="宋体" w:cs="宋体"/>
          <w:b/>
          <w:bCs/>
          <w:kern w:val="0"/>
          <w:sz w:val="27"/>
          <w:szCs w:val="27"/>
          <w14:ligatures w14:val="none"/>
        </w:rPr>
        <w:t>4. 其他费用</w:t>
      </w:r>
    </w:p>
    <w:p w14:paraId="4818B0C2">
      <w:pPr>
        <w:widowControl/>
        <w:numPr>
          <w:ilvl w:val="0"/>
          <w:numId w:val="29"/>
        </w:numPr>
        <w:jc w:val="left"/>
        <w:rPr>
          <w:rFonts w:ascii="宋体" w:hAnsi="宋体" w:eastAsia="宋体" w:cs="宋体"/>
          <w:kern w:val="0"/>
          <w:sz w:val="24"/>
          <w:szCs w:val="24"/>
          <w14:ligatures w14:val="none"/>
        </w:rPr>
      </w:pPr>
      <w:r>
        <w:rPr>
          <w:rFonts w:ascii="宋体" w:hAnsi="宋体" w:eastAsia="宋体" w:cs="宋体"/>
          <w:b/>
          <w:bCs/>
          <w:kern w:val="0"/>
          <w:sz w:val="24"/>
          <w:szCs w:val="24"/>
          <w14:ligatures w14:val="none"/>
        </w:rPr>
        <w:t>培训费用</w:t>
      </w:r>
      <w:r>
        <w:rPr>
          <w:rFonts w:ascii="宋体" w:hAnsi="宋体" w:eastAsia="宋体" w:cs="宋体"/>
          <w:kern w:val="0"/>
          <w:sz w:val="24"/>
          <w:szCs w:val="24"/>
          <w14:ligatures w14:val="none"/>
        </w:rPr>
        <w:t>：为实验室用户提供系统操作培训，费用约 [X] 万元。</w:t>
      </w:r>
    </w:p>
    <w:p w14:paraId="7641E9E0">
      <w:pPr>
        <w:widowControl/>
        <w:numPr>
          <w:ilvl w:val="0"/>
          <w:numId w:val="30"/>
        </w:numPr>
        <w:jc w:val="left"/>
        <w:rPr>
          <w:rFonts w:ascii="宋体" w:hAnsi="宋体" w:eastAsia="宋体" w:cs="宋体"/>
          <w:kern w:val="0"/>
          <w:sz w:val="24"/>
          <w:szCs w:val="24"/>
          <w14:ligatures w14:val="none"/>
        </w:rPr>
      </w:pPr>
      <w:r>
        <w:rPr>
          <w:rFonts w:ascii="宋体" w:hAnsi="宋体" w:eastAsia="宋体" w:cs="宋体"/>
          <w:b/>
          <w:bCs/>
          <w:kern w:val="0"/>
          <w:sz w:val="24"/>
          <w:szCs w:val="24"/>
          <w14:ligatures w14:val="none"/>
        </w:rPr>
        <w:t>差旅与会议费用</w:t>
      </w:r>
      <w:r>
        <w:rPr>
          <w:rFonts w:ascii="宋体" w:hAnsi="宋体" w:eastAsia="宋体" w:cs="宋体"/>
          <w:kern w:val="0"/>
          <w:sz w:val="24"/>
          <w:szCs w:val="24"/>
          <w14:ligatures w14:val="none"/>
        </w:rPr>
        <w:t>：项目团队异地调研、沟通协调产生的差旅及会议费用，预估 [X] 万元。</w:t>
      </w:r>
    </w:p>
    <w:p w14:paraId="59B629B0">
      <w:pPr>
        <w:widowControl/>
        <w:spacing w:before="100" w:beforeAutospacing="1" w:after="100" w:afterAutospacing="1"/>
        <w:jc w:val="left"/>
        <w:outlineLvl w:val="2"/>
        <w:rPr>
          <w:rFonts w:ascii="宋体" w:hAnsi="宋体" w:eastAsia="宋体" w:cs="宋体"/>
          <w:b/>
          <w:bCs/>
          <w:kern w:val="0"/>
          <w:sz w:val="27"/>
          <w:szCs w:val="27"/>
          <w14:ligatures w14:val="none"/>
        </w:rPr>
      </w:pPr>
      <w:r>
        <w:rPr>
          <w:rFonts w:ascii="宋体" w:hAnsi="宋体" w:eastAsia="宋体" w:cs="宋体"/>
          <w:b/>
          <w:bCs/>
          <w:kern w:val="0"/>
          <w:sz w:val="27"/>
          <w:szCs w:val="27"/>
          <w14:ligatures w14:val="none"/>
        </w:rPr>
        <w:t>5. 总费用预算</w:t>
      </w:r>
    </w:p>
    <w:p w14:paraId="3C6A33C2">
      <w:pPr>
        <w:widowControl/>
        <w:jc w:val="left"/>
        <w:rPr>
          <w:rFonts w:ascii="宋体" w:hAnsi="宋体" w:eastAsia="宋体" w:cs="宋体"/>
          <w:kern w:val="0"/>
          <w:sz w:val="24"/>
          <w:szCs w:val="24"/>
          <w14:ligatures w14:val="none"/>
        </w:rPr>
      </w:pPr>
      <w:r>
        <w:rPr>
          <w:rFonts w:ascii="宋体" w:hAnsi="宋体" w:eastAsia="宋体" w:cs="宋体"/>
          <w:kern w:val="0"/>
          <w:sz w:val="24"/>
          <w:szCs w:val="24"/>
          <w14:ligatures w14:val="none"/>
        </w:rPr>
        <w:t>综合以上各项费用，实验室全面质量管理平台软件建设开发总费用预估为 [X] 万元。实际费用将根据项目具体需求、技术选型及市场价格波动情况进行动态调整。</w:t>
      </w:r>
    </w:p>
    <w:p w14:paraId="325CF96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E6FE84"/>
    <w:multiLevelType w:val="singleLevel"/>
    <w:tmpl w:val="83E6FE84"/>
    <w:lvl w:ilvl="0" w:tentative="0">
      <w:start w:val="2"/>
      <w:numFmt w:val="chineseCounting"/>
      <w:suff w:val="nothing"/>
      <w:lvlText w:val="（%1）"/>
      <w:lvlJc w:val="left"/>
      <w:rPr>
        <w:rFonts w:hint="eastAsia"/>
      </w:rPr>
    </w:lvl>
  </w:abstractNum>
  <w:abstractNum w:abstractNumId="1">
    <w:nsid w:val="06342A12"/>
    <w:multiLevelType w:val="multilevel"/>
    <w:tmpl w:val="06342A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959513E"/>
    <w:multiLevelType w:val="multilevel"/>
    <w:tmpl w:val="0959513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EF746AF"/>
    <w:multiLevelType w:val="multilevel"/>
    <w:tmpl w:val="0EF746A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125E516C"/>
    <w:multiLevelType w:val="multilevel"/>
    <w:tmpl w:val="125E516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12F33AC8"/>
    <w:multiLevelType w:val="multilevel"/>
    <w:tmpl w:val="12F33A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88A1CF3"/>
    <w:multiLevelType w:val="multilevel"/>
    <w:tmpl w:val="188A1CF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1D521240"/>
    <w:multiLevelType w:val="multilevel"/>
    <w:tmpl w:val="1D5212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D460C46"/>
    <w:multiLevelType w:val="multilevel"/>
    <w:tmpl w:val="2D460C46"/>
    <w:lvl w:ilvl="0" w:tentative="0">
      <w:start w:val="1"/>
      <w:numFmt w:val="decimal"/>
      <w:lvlText w:val="%1."/>
      <w:lvlJc w:val="left"/>
      <w:pPr>
        <w:tabs>
          <w:tab w:val="left" w:pos="720"/>
        </w:tabs>
        <w:ind w:left="720" w:hanging="360"/>
      </w:pPr>
    </w:lvl>
    <w:lvl w:ilvl="1" w:tentative="0">
      <w:start w:val="3"/>
      <w:numFmt w:val="japaneseCounting"/>
      <w:lvlText w:val="（%2）"/>
      <w:lvlJc w:val="left"/>
      <w:pPr>
        <w:ind w:left="1913" w:hanging="833"/>
      </w:pPr>
      <w:rPr>
        <w:rFonts w:hint="default"/>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2F686E0C"/>
    <w:multiLevelType w:val="multilevel"/>
    <w:tmpl w:val="2F686E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4765ADD"/>
    <w:multiLevelType w:val="multilevel"/>
    <w:tmpl w:val="34765A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36132C3E"/>
    <w:multiLevelType w:val="multilevel"/>
    <w:tmpl w:val="36132C3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36A50FDD"/>
    <w:multiLevelType w:val="multilevel"/>
    <w:tmpl w:val="36A50F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38694E7B"/>
    <w:multiLevelType w:val="multilevel"/>
    <w:tmpl w:val="38694E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3A5C1B9A"/>
    <w:multiLevelType w:val="multilevel"/>
    <w:tmpl w:val="3A5C1B9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3B9C7F42"/>
    <w:multiLevelType w:val="multilevel"/>
    <w:tmpl w:val="3B9C7F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45620082"/>
    <w:multiLevelType w:val="multilevel"/>
    <w:tmpl w:val="456200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45A056DB"/>
    <w:multiLevelType w:val="multilevel"/>
    <w:tmpl w:val="45A056D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4634038B"/>
    <w:multiLevelType w:val="multilevel"/>
    <w:tmpl w:val="463403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4C4662C5"/>
    <w:multiLevelType w:val="multilevel"/>
    <w:tmpl w:val="4C4662C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500F0F89"/>
    <w:multiLevelType w:val="multilevel"/>
    <w:tmpl w:val="500F0F8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58690E23"/>
    <w:multiLevelType w:val="multilevel"/>
    <w:tmpl w:val="58690E2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2">
    <w:nsid w:val="60347963"/>
    <w:multiLevelType w:val="multilevel"/>
    <w:tmpl w:val="6034796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63F16D64"/>
    <w:multiLevelType w:val="multilevel"/>
    <w:tmpl w:val="63F16D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671614A9"/>
    <w:multiLevelType w:val="multilevel"/>
    <w:tmpl w:val="671614A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68EA22AD"/>
    <w:multiLevelType w:val="multilevel"/>
    <w:tmpl w:val="68EA22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6AEA563D"/>
    <w:multiLevelType w:val="multilevel"/>
    <w:tmpl w:val="6AEA563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7">
    <w:nsid w:val="6DB61E7E"/>
    <w:multiLevelType w:val="multilevel"/>
    <w:tmpl w:val="6DB61E7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8">
    <w:nsid w:val="764F73C6"/>
    <w:multiLevelType w:val="multilevel"/>
    <w:tmpl w:val="764F73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7E001733"/>
    <w:multiLevelType w:val="multilevel"/>
    <w:tmpl w:val="7E001733"/>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2"/>
  </w:num>
  <w:num w:numId="2">
    <w:abstractNumId w:val="0"/>
  </w:num>
  <w:num w:numId="3">
    <w:abstractNumId w:val="6"/>
  </w:num>
  <w:num w:numId="4">
    <w:abstractNumId w:val="16"/>
  </w:num>
  <w:num w:numId="5">
    <w:abstractNumId w:val="9"/>
  </w:num>
  <w:num w:numId="6">
    <w:abstractNumId w:val="15"/>
  </w:num>
  <w:num w:numId="7">
    <w:abstractNumId w:val="28"/>
  </w:num>
  <w:num w:numId="8">
    <w:abstractNumId w:val="12"/>
  </w:num>
  <w:num w:numId="9">
    <w:abstractNumId w:val="13"/>
  </w:num>
  <w:num w:numId="10">
    <w:abstractNumId w:val="23"/>
  </w:num>
  <w:num w:numId="11">
    <w:abstractNumId w:val="24"/>
  </w:num>
  <w:num w:numId="12">
    <w:abstractNumId w:val="10"/>
  </w:num>
  <w:num w:numId="13">
    <w:abstractNumId w:val="26"/>
  </w:num>
  <w:num w:numId="14">
    <w:abstractNumId w:val="3"/>
  </w:num>
  <w:num w:numId="15">
    <w:abstractNumId w:val="8"/>
  </w:num>
  <w:num w:numId="16">
    <w:abstractNumId w:val="27"/>
  </w:num>
  <w:num w:numId="17">
    <w:abstractNumId w:val="19"/>
  </w:num>
  <w:num w:numId="18">
    <w:abstractNumId w:val="29"/>
    <w:lvlOverride w:ilvl="0">
      <w:lvl w:ilvl="0" w:tentative="1">
        <w:start w:val="0"/>
        <w:numFmt w:val="decimal"/>
        <w:lvlText w:val="%1."/>
        <w:lvlJc w:val="left"/>
      </w:lvl>
    </w:lvlOverride>
  </w:num>
  <w:num w:numId="19">
    <w:abstractNumId w:val="11"/>
  </w:num>
  <w:num w:numId="20">
    <w:abstractNumId w:val="17"/>
  </w:num>
  <w:num w:numId="21">
    <w:abstractNumId w:val="21"/>
  </w:num>
  <w:num w:numId="22">
    <w:abstractNumId w:val="4"/>
  </w:num>
  <w:num w:numId="23">
    <w:abstractNumId w:val="20"/>
  </w:num>
  <w:num w:numId="24">
    <w:abstractNumId w:val="1"/>
  </w:num>
  <w:num w:numId="25">
    <w:abstractNumId w:val="2"/>
  </w:num>
  <w:num w:numId="26">
    <w:abstractNumId w:val="14"/>
  </w:num>
  <w:num w:numId="27">
    <w:abstractNumId w:val="7"/>
  </w:num>
  <w:num w:numId="28">
    <w:abstractNumId w:val="25"/>
  </w:num>
  <w:num w:numId="29">
    <w:abstractNumId w:val="18"/>
  </w:num>
  <w:num w:numId="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ZhOWQ4M2VlMTM2MDY5MTQ5ZjAxYjlmMDc2YWEyNDcifQ=="/>
  </w:docVars>
  <w:rsids>
    <w:rsidRoot w:val="00BA2020"/>
    <w:rsid w:val="004758CC"/>
    <w:rsid w:val="00650F30"/>
    <w:rsid w:val="007173A9"/>
    <w:rsid w:val="008E4601"/>
    <w:rsid w:val="00B747A7"/>
    <w:rsid w:val="00BA2020"/>
    <w:rsid w:val="00E376D4"/>
    <w:rsid w:val="2365482A"/>
    <w:rsid w:val="7CBF20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2"/>
      <w:szCs w:val="22"/>
      <w:lang w:val="en-US" w:eastAsia="zh-CN" w:bidi="ar-SA"/>
      <w14:ligatures w14:val="standardContextual"/>
    </w:rPr>
  </w:style>
  <w:style w:type="paragraph" w:styleId="2">
    <w:name w:val="heading 1"/>
    <w:basedOn w:val="1"/>
    <w:link w:val="7"/>
    <w:qFormat/>
    <w:uiPriority w:val="9"/>
    <w:pPr>
      <w:widowControl/>
      <w:spacing w:before="100" w:beforeAutospacing="1" w:after="100" w:afterAutospacing="1"/>
      <w:jc w:val="left"/>
      <w:outlineLvl w:val="0"/>
    </w:pPr>
    <w:rPr>
      <w:rFonts w:ascii="宋体" w:hAnsi="宋体" w:eastAsia="宋体" w:cs="宋体"/>
      <w:b/>
      <w:bCs/>
      <w:kern w:val="36"/>
      <w:sz w:val="48"/>
      <w:szCs w:val="48"/>
      <w14:ligatures w14:val="none"/>
    </w:rPr>
  </w:style>
  <w:style w:type="paragraph" w:styleId="3">
    <w:name w:val="heading 2"/>
    <w:basedOn w:val="1"/>
    <w:link w:val="8"/>
    <w:qFormat/>
    <w:uiPriority w:val="9"/>
    <w:pPr>
      <w:widowControl/>
      <w:spacing w:before="100" w:beforeAutospacing="1" w:after="100" w:afterAutospacing="1"/>
      <w:jc w:val="left"/>
      <w:outlineLvl w:val="1"/>
    </w:pPr>
    <w:rPr>
      <w:rFonts w:ascii="宋体" w:hAnsi="宋体" w:eastAsia="宋体" w:cs="宋体"/>
      <w:b/>
      <w:bCs/>
      <w:kern w:val="0"/>
      <w:sz w:val="36"/>
      <w:szCs w:val="36"/>
      <w14:ligatures w14:val="none"/>
    </w:rPr>
  </w:style>
  <w:style w:type="paragraph" w:styleId="4">
    <w:name w:val="heading 3"/>
    <w:basedOn w:val="1"/>
    <w:link w:val="9"/>
    <w:qFormat/>
    <w:uiPriority w:val="9"/>
    <w:pPr>
      <w:widowControl/>
      <w:spacing w:before="100" w:beforeAutospacing="1" w:after="100" w:afterAutospacing="1"/>
      <w:jc w:val="left"/>
      <w:outlineLvl w:val="2"/>
    </w:pPr>
    <w:rPr>
      <w:rFonts w:ascii="宋体" w:hAnsi="宋体" w:eastAsia="宋体" w:cs="宋体"/>
      <w:b/>
      <w:bCs/>
      <w:kern w:val="0"/>
      <w:sz w:val="27"/>
      <w:szCs w:val="27"/>
      <w14:ligatures w14:val="none"/>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customStyle="1" w:styleId="7">
    <w:name w:val="标题 1 字符"/>
    <w:basedOn w:val="6"/>
    <w:link w:val="2"/>
    <w:qFormat/>
    <w:uiPriority w:val="9"/>
    <w:rPr>
      <w:rFonts w:ascii="宋体" w:hAnsi="宋体" w:eastAsia="宋体" w:cs="宋体"/>
      <w:b/>
      <w:bCs/>
      <w:kern w:val="36"/>
      <w:sz w:val="48"/>
      <w:szCs w:val="48"/>
      <w14:ligatures w14:val="none"/>
    </w:rPr>
  </w:style>
  <w:style w:type="character" w:customStyle="1" w:styleId="8">
    <w:name w:val="标题 2 字符"/>
    <w:basedOn w:val="6"/>
    <w:link w:val="3"/>
    <w:uiPriority w:val="9"/>
    <w:rPr>
      <w:rFonts w:ascii="宋体" w:hAnsi="宋体" w:eastAsia="宋体" w:cs="宋体"/>
      <w:b/>
      <w:bCs/>
      <w:kern w:val="0"/>
      <w:sz w:val="36"/>
      <w:szCs w:val="36"/>
      <w14:ligatures w14:val="none"/>
    </w:rPr>
  </w:style>
  <w:style w:type="character" w:customStyle="1" w:styleId="9">
    <w:name w:val="标题 3 字符"/>
    <w:basedOn w:val="6"/>
    <w:link w:val="4"/>
    <w:qFormat/>
    <w:uiPriority w:val="9"/>
    <w:rPr>
      <w:rFonts w:ascii="宋体" w:hAnsi="宋体" w:eastAsia="宋体" w:cs="宋体"/>
      <w:b/>
      <w:bCs/>
      <w:kern w:val="0"/>
      <w:sz w:val="27"/>
      <w:szCs w:val="27"/>
      <w14:ligatures w14:val="none"/>
    </w:rPr>
  </w:style>
  <w:style w:type="paragraph" w:customStyle="1" w:styleId="10">
    <w:name w:val="temp-li"/>
    <w:basedOn w:val="1"/>
    <w:uiPriority w:val="0"/>
    <w:pPr>
      <w:widowControl/>
      <w:spacing w:before="100" w:beforeAutospacing="1" w:after="100" w:afterAutospacing="1"/>
      <w:jc w:val="left"/>
    </w:pPr>
    <w:rPr>
      <w:rFonts w:ascii="宋体" w:hAnsi="宋体" w:eastAsia="宋体" w:cs="宋体"/>
      <w:kern w:val="0"/>
      <w:sz w:val="24"/>
      <w:szCs w:val="24"/>
      <w14:ligatures w14:val="none"/>
    </w:rPr>
  </w:style>
  <w:style w:type="paragraph" w:styleId="1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2443</Words>
  <Characters>2549</Characters>
  <Lines>19</Lines>
  <Paragraphs>5</Paragraphs>
  <TotalTime>338</TotalTime>
  <ScaleCrop>false</ScaleCrop>
  <LinksUpToDate>false</LinksUpToDate>
  <CharactersWithSpaces>2662</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2025-09-12T14:03:00Z</dcterms:created>
  <dc:creator>phillip wong</dc:creator>
  <cp:lastModifiedBy>星空下的蝈蝈</cp:lastModifiedBy>
  <dcterms:modified xsi:type="dcterms:W3CDTF">2026-04-02T09:32:46Z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99CF4F187EA44764BC99FD865C24BBA9_12</vt:lpwstr>
  </property>
</Properties>
</file>