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0"/>
          <w:rtl w:val="0"/>
        </w:rPr>
        <w:t xml:space="preserve">Sistema de Venda de Ingressos de Cinema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0"/>
          <w:rtl w:val="0"/>
        </w:rPr>
        <w:t xml:space="preserve">Especificação de Caso de Uso: UC01 Manter Filmes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1. Visão Geral e Objetivos: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Este caso de uso tem por objetivo criar, excluir :ou alterar os filmes.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2. Atores Envolvidos: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Gerente.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3. Pré-Condições: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Não há pré-condições preestabelecidas.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4. Pós-Condições: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Filmes cadastrados no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5. Fluxo de Eventos: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5.1. Fluxo Básico: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5.1.1. O gerente escolhe qual o filme a ser cadastrado no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5.1.2. Depois da escolha do filme, o gerente cadastra-o no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5.1.3. Quando o filme estiver cadastrado no sistema, o gerente inclui também a sua sinopse específica do filme, a censura adequada para o filme cadastrado.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5.1.4. Após todo esse processo, o gerente da uma última olhada antes de publicar.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5.1.5. Após todo o processo, se estiver tudo em perfeitas condições, o filme é publicado no sistema e o filme já pode ser visto na máquina.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5.1.6. Com o filme cadastrado, o cliente poderá ir na máquina com o filme já cadastrado e pronto para ser adquirido por ele.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</cp:coreProperties>
</file>