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aps/>
          <w:color w:val="002A55"/>
          <w:sz w:val="48"/>
          <w:szCs w:val="48"/>
        </w:rPr>
        <w:t xml:space="preserve">STAKEHOLDER REGISTER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54A4"/>
          <w:sz w:val="28"/>
          <w:szCs w:val="28"/>
        </w:rPr>
        <w:t xml:space="preserve">TCC Expansion — IS Infrastructure Refresh</w:t>
      </w:r>
    </w:p>
    <w:p>
      <w:pPr>
        <w:pBdr>
          <w:bottom w:val="single" w:color="0054A4" w:sz="4" w:space="4"/>
        </w:pBd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Draft v1.0 — March 27, 2026 — IS PMO Review Required</w:t>
      </w:r>
    </w:p>
    <w:p>
      <w:pPr>
        <w:spacing w:before="120" w:after="0"/>
      </w:pPr>
      <w: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200"/>
        <w:gridCol w:w="1200"/>
        <w:gridCol w:w="900"/>
        <w:gridCol w:w="13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Organization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Carri Sampson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TCC Manager / Project Sponsor — Metro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operational continuity, operator welfare during displacement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approves scope, 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operations depend on IS delivery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Lead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Primary sponsor. Weekly updates. SteerCo chair. Escalation point for all IS delivery issues.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Chad Ladda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TCC Assistant Manager — Metro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daily TCC operations, Room 1007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day-to-day 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Manage closely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Primary daily contact. Coordinates IES/Solacom in Room 1007. Represented Carri at SteerCo Mar 25.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Gretchen 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Director / CIO — Metropolitan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Medium-High: IS resource allocation,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IS resource 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approved dedicated endpoint resource in principle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satisfied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Monthly SteerCo. Escalation for resource decisions. Agreed endpoint resource — confirm who/when at Apr 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MayAnn Severud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PMO Manager — Metropolitan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IS PMO standards, artifact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IS PMO oversight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audit sign-off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PMO artifact review. IS PM's manager. Paul Burke also reports to her.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Robert Rimstad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MT Manager, Engineering &amp; Construction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construction schedule, funding authorization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NTP authority, budget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all IS milestones depend on construction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satisfied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Construction gate milestones. NTP timing. Transportation Committee liaison. Informed at SteerCo.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 Oelrich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Principal Project Coordinator — Metro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construction schedule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owns construction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IS 1:1 slip rule applies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construction schedule updates. IS PM tracks via Monday brief. IS cannot influence — only monitor.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Paul Burke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Infrastructure PM / PMO — Met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IS infrastructure delivery across 3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Medium-High: IS Network, Endpoint, Voice,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Manage closely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Direct weekly coordination. Objective-setting delivery model. Key resource for Room 1007 buildout.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 Linnell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Endpoint Manager — Met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Medium-High: PC procurement and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endpoint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EBC PC deployment is critical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Manage closely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PC eval order submitted Mar 27. End-to-end deployment cycle to be mapped. New to role.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Eric Brown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LASO — Metropolitan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CJIS/BCA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LASO authority on BCA 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BCA approval gates VuWall and Room 1007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Manage closely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Assigned Mar 24. Engage immediately after Paul Burke meeting for Room 1007 firewall design.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Jacob Dada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Transit Applications Manager — Metro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application deployment in PC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handoff point in deployment 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Part of PC deployment cycle. TransitMaster and specialized apps. Elevated permissions question TBD.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John Stefanko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Director IS Architecture — Met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IS architecture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IS Triage team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triage review may be required for new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Architecture (Triage) team lead. SteerCo attendee. NG911 and VuWall architecture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Lisa Belland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Business Continuity Manager — Met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High: COOP program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COOP standards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Room 1007 is a COOP facility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Room 1007 is a COOP facility. NG911 requirements workshop participant. COOP plan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Tracy French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Ops / CJIS SME — Met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CJIS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Low-Medium: advisory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Supports Eric Brown on CJIS scope. Consulted on BCA submissions.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Dale Tribbey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Voice Systems Engineer — Met Council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voice infrastructure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Low-Medium: voice team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Keep informed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Voice system for Room 1007 and final space. Reports to Clete Erickson.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IES (Solacom Vendor)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External managed services 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EBC Room 1007 shared space, Solacom PCs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 (TCC is primary interface)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Medium: firewall specs blocking power calculation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Monitor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Chad Ladda is primary IES interface. IS coordinates via Chad. IES firewall specs needed urgently.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Engagement Levels: Lead = sponsor, active partner. Manage closely = frequent direct engagement required. Keep satisfied = periodic updates, escalate decisions. Keep informed = notify at milestones. Monitor = watch for changes.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4A4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INTERNAL USE ONLY — IS PMO</w:t>
    </w:r>
    <w:r>
      <w:rPr>
        <w:rFonts w:ascii="Arial" w:cs="Arial" w:eastAsia="Arial" w:hAnsi="Arial"/>
        <w:color w:val="888888"/>
        <w:sz w:val="16"/>
        <w:szCs w:val="16"/>
      </w:rPr>
      <w:t xml:space="preserve">	Draft v1.0 — March 27,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4A4" w:sz="4" w:space="4"/>
      </w:pBdr>
      <w:spacing w:after="120"/>
    </w:pPr>
    <w:r>
      <w:rPr>
        <w:rFonts w:ascii="Arial" w:cs="Arial" w:eastAsia="Arial" w:hAnsi="Arial"/>
        <w:color w:val="0054A4"/>
        <w:sz w:val="16"/>
        <w:szCs w:val="16"/>
      </w:rPr>
      <w:t xml:space="preserve">Metropolitan Council · Metro Transit · Information Services    |    TCC Expansion — Stakeholder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2A5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4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2026-03-27T16:34:18.955Z</dcterms:created>
  <dcterms:modified xsi:type="dcterms:W3CDTF">2026-03-27T16:34:18.955Z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