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C0392B"/>
          <w:sz w:val="18"/>
          <w:szCs w:val="18"/>
        </w:rPr>
        <w:t xml:space="preserve">DRAFT — for PM review before SP import</w:t>
      </w:r>
    </w:p>
    <w:p>
      <w:pPr>
        <w:spacing w:after="40" w:before="0"/>
        <w:jc w:val="left"/>
      </w:pPr>
      <w:r>
        <w:rPr>
          <w:rFonts w:ascii="Arial" w:cs="Arial" w:eastAsia="Arial" w:hAnsi="Arial"/>
          <w:b/>
          <w:bCs/>
          <w:color w:val="555555"/>
          <w:sz w:val="22"/>
          <w:szCs w:val="22"/>
        </w:rPr>
        <w:t xml:space="preserve">TCC IS Portfolio Hub</w:t>
      </w:r>
    </w:p>
    <w:p>
      <w:pPr>
        <w:spacing w:after="80" w:before="0"/>
        <w:jc w:val="left"/>
      </w:pPr>
      <w:r>
        <w:rPr>
          <w:rFonts w:ascii="Arial" w:cs="Arial" w:eastAsia="Arial" w:hAnsi="Arial"/>
          <w:b/>
          <w:bCs/>
          <w:color w:val="043971"/>
          <w:sz w:val="40"/>
          <w:szCs w:val="40"/>
        </w:rPr>
        <w:t xml:space="preserve">WBS v3.2 — Standard IT Practice Placeholder Plan</w:t>
      </w:r>
    </w:p>
    <w:p>
      <w:pPr>
        <w:spacing w:after="320" w:before="0"/>
        <w:jc w:val="left"/>
      </w:pPr>
      <w:r>
        <w:rPr>
          <w:rFonts w:ascii="Arial" w:cs="Arial" w:eastAsia="Arial" w:hAnsi="Arial"/>
          <w:i/>
          <w:iCs/>
          <w:color w:val="555555"/>
          <w:sz w:val="20"/>
          <w:szCs w:val="20"/>
        </w:rPr>
        <w:t xml:space="preserve">Prepared 2026-04-22  ·  Successor to TCC_IS_WBS_v3.1.xlsx</w:t>
      </w:r>
    </w:p>
    <w:p>
      <w:pPr>
        <w:pBdr>
          <w:bottom w:val="single" w:color="043971" w:sz="6" w:space="1"/>
        </w:pBdr>
        <w:spacing w:after="160" w:before="40"/>
      </w:pPr>
      <w:r>
        <w:t xml:space="preserve"/>
      </w:r>
    </w:p>
    <w:p>
      <w:pPr>
        <w:pStyle w:val="Heading1"/>
        <w:spacing w:after="160" w:before="280"/>
      </w:pPr>
      <w:r>
        <w:rPr>
          <w:rFonts w:ascii="Arial" w:cs="Arial" w:eastAsia="Arial" w:hAnsi="Arial"/>
          <w:b/>
          <w:bCs/>
          <w:color w:val="043971"/>
          <w:sz w:val="32"/>
          <w:szCs w:val="32"/>
        </w:rPr>
        <w:t xml:space="preserve">Why we’re adding these back</w:t>
      </w:r>
    </w:p>
    <w:p>
      <w:pPr>
        <w:spacing w:after="120" w:before="0"/>
      </w:pPr>
      <w:r>
        <w:rPr>
          <w:rFonts w:ascii="Arial" w:cs="Arial" w:eastAsia="Arial" w:hAnsi="Arial"/>
          <w:sz w:val="22"/>
          <w:szCs w:val="22"/>
        </w:rPr>
        <w:t xml:space="preserve">The WBS was pared from ~914 tasks to 211 across four revision rounds. That removed real noise — standing meetings, PM admin, internal team SOP detail — and produced TCC_IS_WBS_v3.1.xlsx as the finalized canonical file.</w:t>
      </w:r>
    </w:p>
    <w:p>
      <w:pPr>
        <w:spacing w:after="120" w:before="0"/>
      </w:pPr>
      <w:r>
        <w:rPr>
          <w:rFonts w:ascii="Arial" w:cs="Arial" w:eastAsia="Arial" w:hAnsi="Arial"/>
          <w:sz w:val="22"/>
          <w:szCs w:val="22"/>
        </w:rPr>
        <w:t xml:space="preserve">What the paring also removed, by accident, was the standard IT lifecycle scaffolding that applies to every technical workstream regardless of which team executes it. Implementation planning, configuration, testing, and IS acceptance aren’t SOP details — they’re the minimum structure the PM needs to manage any deployment. This plan adds that scaffolding back at a template level, not at an SOP level.</w:t>
      </w:r>
    </w:p>
    <w:p>
      <w:pPr>
        <w:spacing w:after="120" w:before="0"/>
      </w:pPr>
      <w:r>
        <w:rPr>
          <w:rFonts w:ascii="Arial" w:cs="Arial" w:eastAsia="Arial" w:hAnsi="Arial"/>
          <w:sz w:val="22"/>
          <w:szCs w:val="22"/>
        </w:rPr>
        <w:t xml:space="preserve">The taxonomy needed already exists on IS Project Tasks. The TaskType choice column supports four values — Task, Milestone, Construction Gate, Deliverable — which cover every placeholder type below. No schema changes.</w:t>
      </w:r>
    </w:p>
    <w:p>
      <w:pPr>
        <w:pStyle w:val="Heading1"/>
        <w:spacing w:after="160" w:before="280"/>
      </w:pPr>
      <w:r>
        <w:rPr>
          <w:rFonts w:ascii="Arial" w:cs="Arial" w:eastAsia="Arial" w:hAnsi="Arial"/>
          <w:b/>
          <w:bCs/>
          <w:color w:val="043971"/>
          <w:sz w:val="32"/>
          <w:szCs w:val="32"/>
        </w:rPr>
        <w:t xml:space="preserve">Proposed template</w:t>
      </w:r>
    </w:p>
    <w:p>
      <w:pPr>
        <w:spacing w:after="120" w:before="0"/>
      </w:pPr>
      <w:r>
        <w:rPr>
          <w:rFonts w:ascii="Arial" w:cs="Arial" w:eastAsia="Arial" w:hAnsi="Arial"/>
          <w:sz w:val="22"/>
          <w:szCs w:val="22"/>
        </w:rPr>
        <w:t xml:space="preserve">Five core items apply to every technical workstream. Three optional items attach when the workstream is cutover-driven, equipment-heavy, or high-risk. That keeps the floor at 5 rows per workstream and tops out at 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
        <w:gridCol w:w="3120"/>
        <w:gridCol w:w="2400"/>
        <w:gridCol w:w="4040"/>
      </w:tblGrid>
      <w:tr>
        <w:trPr>
          <w:tblHeader/>
        </w:trPr>
        <w:tc>
          <w:tcPr>
            <w:tcW w:type="dxa" w:w="52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12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 Deliverable</w:t>
            </w:r>
          </w:p>
        </w:tc>
        <w:tc>
          <w:tcPr>
            <w:tcW w:type="dxa" w:w="240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TaskType</w:t>
            </w:r>
          </w:p>
        </w:tc>
        <w:tc>
          <w:tcPr>
            <w:tcW w:type="dxa" w:w="404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include</w:t>
            </w:r>
          </w:p>
        </w:tc>
      </w:tr>
      <w:tr>
        <w:tc>
          <w:tcPr>
            <w:tcW w:type="dxa" w:w="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Requirements &amp; Change Ticket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Task</w:t>
            </w:r>
          </w:p>
        </w:tc>
        <w:tc>
          <w:tcPr>
            <w:tcW w:type="dxa" w:w="4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Every workstream — captures the ask + lead time</w:t>
            </w:r>
          </w:p>
        </w:tc>
      </w:tr>
      <w:tr>
        <w:tc>
          <w:tcPr>
            <w:tcW w:type="dxa" w:w="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Implementation Plan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Deliverable</w:t>
            </w:r>
          </w:p>
        </w:tc>
        <w:tc>
          <w:tcPr>
            <w:tcW w:type="dxa" w:w="4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Every workstream — method of procedure, assignments, window</w:t>
            </w:r>
          </w:p>
        </w:tc>
      </w:tr>
      <w:tr>
        <w:tc>
          <w:tcPr>
            <w:tcW w:type="dxa" w:w="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Configuration / Build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Task</w:t>
            </w:r>
          </w:p>
        </w:tc>
        <w:tc>
          <w:tcPr>
            <w:tcW w:type="dxa" w:w="4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Every workstream — the technical team executing</w:t>
            </w:r>
          </w:p>
        </w:tc>
      </w:tr>
      <w:tr>
        <w:tc>
          <w:tcPr>
            <w:tcW w:type="dxa" w:w="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Testing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Task</w:t>
            </w:r>
          </w:p>
        </w:tc>
        <w:tc>
          <w:tcPr>
            <w:tcW w:type="dxa" w:w="4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Every workstream — execute against test plan</w:t>
            </w:r>
          </w:p>
        </w:tc>
      </w:tr>
      <w:tr>
        <w:tc>
          <w:tcPr>
            <w:tcW w:type="dxa" w:w="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IS Acceptance / Sign-Off</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Milestone</w:t>
            </w:r>
          </w:p>
        </w:tc>
        <w:tc>
          <w:tcPr>
            <w:tcW w:type="dxa" w:w="4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Every workstream — PM gate; proves the workstream is done</w:t>
            </w:r>
          </w:p>
        </w:tc>
      </w:tr>
      <w:tr>
        <w:tc>
          <w:tcPr>
            <w:tcW w:type="dxa" w:w="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6</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Procurement / PO Tracking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Task</w:t>
            </w:r>
          </w:p>
        </w:tc>
        <w:tc>
          <w:tcPr>
            <w:tcW w:type="dxa" w:w="4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When equipment or licenses are needed</w:t>
            </w:r>
          </w:p>
        </w:tc>
      </w:tr>
      <w:tr>
        <w:tc>
          <w:tcPr>
            <w:tcW w:type="dxa" w:w="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7</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Back-out Plan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Deliverable</w:t>
            </w:r>
          </w:p>
        </w:tc>
        <w:tc>
          <w:tcPr>
            <w:tcW w:type="dxa" w:w="4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High-risk cutovers only (live-service impact or rollback hard)</w:t>
            </w:r>
          </w:p>
        </w:tc>
      </w:tr>
      <w:tr>
        <w:tc>
          <w:tcPr>
            <w:tcW w:type="dxa" w:w="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8</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Go-Live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Milestone or Construction Gate</w:t>
            </w:r>
          </w:p>
        </w:tc>
        <w:tc>
          <w:tcPr>
            <w:tcW w:type="dxa" w:w="4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Cutover-driven work; Construction Gate if construction-dependent</w:t>
            </w:r>
          </w:p>
        </w:tc>
      </w:tr>
    </w:tbl>
    <w:p>
      <w:pPr>
        <w:spacing w:after="120" w:before="120"/>
      </w:pPr>
      <w:r>
        <w:rPr>
          <w:rFonts w:ascii="Arial" w:cs="Arial" w:eastAsia="Arial" w:hAnsi="Arial"/>
          <w:sz w:val="22"/>
          <w:szCs w:val="22"/>
        </w:rPr>
        <w:t xml:space="preserve"/>
      </w:r>
    </w:p>
    <w:p>
      <w:pPr>
        <w:spacing w:after="120" w:before="0"/>
      </w:pPr>
      <w:r>
        <w:rPr>
          <w:rFonts w:ascii="Arial" w:cs="Arial" w:eastAsia="Arial" w:hAnsi="Arial"/>
          <w:i/>
          <w:iCs/>
          <w:color w:val="555555"/>
          <w:sz w:val="22"/>
          <w:szCs w:val="22"/>
        </w:rPr>
        <w:t xml:space="preserve">Rule of thumb: if a workstream doesn’t have a distinct Configuration step (e.g., it’s documentation-only), drop Testing too and use Requirements → Deliverable → Sign-Off (3 rows).</w:t>
      </w:r>
    </w:p>
    <w:p>
      <w:pPr>
        <w:pStyle w:val="Heading1"/>
        <w:spacing w:after="160" w:before="280"/>
      </w:pPr>
      <w:r>
        <w:rPr>
          <w:rFonts w:ascii="Arial" w:cs="Arial" w:eastAsia="Arial" w:hAnsi="Arial"/>
          <w:b/>
          <w:bCs/>
          <w:color w:val="043971"/>
          <w:sz w:val="32"/>
          <w:szCs w:val="32"/>
        </w:rPr>
        <w:t xml:space="preserve">Workstream enumeration per project</w:t>
      </w:r>
    </w:p>
    <w:p>
      <w:pPr>
        <w:spacing w:after="120" w:before="0"/>
      </w:pPr>
      <w:r>
        <w:rPr>
          <w:rFonts w:ascii="Arial" w:cs="Arial" w:eastAsia="Arial" w:hAnsi="Arial"/>
          <w:sz w:val="22"/>
          <w:szCs w:val="22"/>
        </w:rPr>
        <w:t xml:space="preserve">Draft list. Red-line anything that’s wrong — add, remove, rename, or change the template fit.</w:t>
      </w:r>
    </w:p>
    <w:p>
      <w:pPr>
        <w:pStyle w:val="Heading2"/>
        <w:spacing w:after="120" w:before="220"/>
      </w:pPr>
      <w:r>
        <w:rPr>
          <w:rFonts w:ascii="Arial" w:cs="Arial" w:eastAsia="Arial" w:hAnsi="Arial"/>
          <w:b/>
          <w:bCs/>
          <w:color w:val="043971"/>
          <w:sz w:val="26"/>
          <w:szCs w:val="26"/>
        </w:rPr>
        <w:t xml:space="preserve">TCC Expansion — 7 workstreams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2200"/>
        <w:gridCol w:w="3560"/>
      </w:tblGrid>
      <w:tr>
        <w:trPr>
          <w:tblHeader/>
        </w:trPr>
        <w:tc>
          <w:tcPr>
            <w:tcW w:type="dxa" w:w="72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60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Workstream</w:t>
            </w:r>
          </w:p>
        </w:tc>
        <w:tc>
          <w:tcPr>
            <w:tcW w:type="dxa" w:w="220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Template fit</w:t>
            </w:r>
          </w:p>
        </w:tc>
        <w:tc>
          <w:tcPr>
            <w:tcW w:type="dxa" w:w="356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PC Procurement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Core 5 + PO</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Partially in WBS already; merge rather than duplicate</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PC Deployment &amp; Imaging</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Core 5 + Go-Live (Construction Gate)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Construction-dependent go-live once final space is ready</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Network — Council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Core 5 + PO + Back-out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Change ticket lead time is the critical path; back-out matters for live impact</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Network — MTPD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Core 5 + PO + Back-out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Parallel to Council network with separate change ticket stream</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Voice / Solacom Crossover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Core 5</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Depends on NG911 vendor selection; placeholder for coordination</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6</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CJIS Documentation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Requirements → Deliverable → Sign-Off</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Docs-only; drop Configuration + Testing</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7</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OCM / Training</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Requirements → Deliverable → Delivery → Sign-Off</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Slightly different shape — delivery replaces configuration</w:t>
            </w:r>
          </w:p>
        </w:tc>
      </w:tr>
    </w:tbl>
    <w:p>
      <w:pPr>
        <w:spacing w:after="160" w:before="0"/>
      </w:pPr>
      <w:r>
        <w:rPr>
          <w:rFonts w:ascii="Arial" w:cs="Arial" w:eastAsia="Arial" w:hAnsi="Arial"/>
          <w:sz w:val="22"/>
          <w:szCs w:val="22"/>
        </w:rPr>
        <w:t xml:space="preserve"/>
      </w:r>
    </w:p>
    <w:p>
      <w:pPr>
        <w:pStyle w:val="Heading2"/>
        <w:spacing w:after="120" w:before="220"/>
      </w:pPr>
      <w:r>
        <w:rPr>
          <w:rFonts w:ascii="Arial" w:cs="Arial" w:eastAsia="Arial" w:hAnsi="Arial"/>
          <w:b/>
          <w:bCs/>
          <w:color w:val="043971"/>
          <w:sz w:val="26"/>
          <w:szCs w:val="26"/>
        </w:rPr>
        <w:t xml:space="preserve">NG911 Refresh — 5 workstreams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2200"/>
        <w:gridCol w:w="3560"/>
      </w:tblGrid>
      <w:tr>
        <w:trPr>
          <w:tblHeader/>
        </w:trPr>
        <w:tc>
          <w:tcPr>
            <w:tcW w:type="dxa" w:w="72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60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Workstream</w:t>
            </w:r>
          </w:p>
        </w:tc>
        <w:tc>
          <w:tcPr>
            <w:tcW w:type="dxa" w:w="220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Template fit</w:t>
            </w:r>
          </w:p>
        </w:tc>
        <w:tc>
          <w:tcPr>
            <w:tcW w:type="dxa" w:w="356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RFP &amp; Requirements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Core 5</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FE-led; IS contributes requirements input</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Vendor Selection &amp; Contract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Core 5</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Milestone row already exists; template fills the steps around it</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Cloud Configuration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Core 5 + Back-out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Cloud-hosted per current recommendation; back-out matters for service</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Cutover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Core 5 + Go-Live (Milestone) + Back-out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Highest-risk workstream in NG911; warrants full template</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Decommission (Mitel lines)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Requirements → Plan → Execute → Verify</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Simpler shape; drop to 3–4 rows</w:t>
            </w:r>
          </w:p>
        </w:tc>
      </w:tr>
    </w:tbl>
    <w:p>
      <w:pPr>
        <w:spacing w:after="160" w:before="0"/>
      </w:pPr>
      <w:r>
        <w:rPr>
          <w:rFonts w:ascii="Arial" w:cs="Arial" w:eastAsia="Arial" w:hAnsi="Arial"/>
          <w:sz w:val="22"/>
          <w:szCs w:val="22"/>
        </w:rPr>
        <w:t xml:space="preserve"/>
      </w:r>
    </w:p>
    <w:p>
      <w:pPr>
        <w:pStyle w:val="Heading2"/>
        <w:spacing w:after="120" w:before="220"/>
      </w:pPr>
      <w:r>
        <w:rPr>
          <w:rFonts w:ascii="Arial" w:cs="Arial" w:eastAsia="Arial" w:hAnsi="Arial"/>
          <w:b/>
          <w:bCs/>
          <w:color w:val="043971"/>
          <w:sz w:val="26"/>
          <w:szCs w:val="26"/>
        </w:rPr>
        <w:t xml:space="preserve">VuWall — 5 workstreams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2200"/>
        <w:gridCol w:w="3560"/>
      </w:tblGrid>
      <w:tr>
        <w:trPr>
          <w:tblHeader/>
        </w:trPr>
        <w:tc>
          <w:tcPr>
            <w:tcW w:type="dxa" w:w="72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60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Workstream</w:t>
            </w:r>
          </w:p>
        </w:tc>
        <w:tc>
          <w:tcPr>
            <w:tcW w:type="dxa" w:w="220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Template fit</w:t>
            </w:r>
          </w:p>
        </w:tc>
        <w:tc>
          <w:tcPr>
            <w:tcW w:type="dxa" w:w="356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POC Design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Core 5</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Spec + validation approach; testing is the POC itself</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POC Build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Core 5</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Vendor executes; PM tracks start/target</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POC Testing</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Core 5</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Evaluation criteria, test results, IS acceptance</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BCA Submission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Requirements → Deliverable → Sign-Off</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Docs-only; external approval cycle follows</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Go/No-Go Decision &amp; Deployment Plan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Milestone + Deliverable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Single decision point + artifact; 2 rows not 5</w:t>
            </w:r>
          </w:p>
        </w:tc>
      </w:tr>
    </w:tbl>
    <w:p>
      <w:pPr>
        <w:pStyle w:val="Heading1"/>
        <w:spacing w:after="160" w:before="280"/>
      </w:pPr>
      <w:r>
        <w:rPr>
          <w:rFonts w:ascii="Arial" w:cs="Arial" w:eastAsia="Arial" w:hAnsi="Arial"/>
          <w:b/>
          <w:bCs/>
          <w:color w:val="043971"/>
          <w:sz w:val="32"/>
          <w:szCs w:val="32"/>
        </w:rPr>
        <w:t xml:space="preserve">Row count impact</w:t>
      </w:r>
    </w:p>
    <w:p>
      <w:pPr>
        <w:spacing w:after="120" w:before="0"/>
      </w:pPr>
      <w:r>
        <w:rPr>
          <w:rFonts w:ascii="Arial" w:cs="Arial" w:eastAsia="Arial" w:hAnsi="Arial"/>
          <w:sz w:val="22"/>
          <w:szCs w:val="22"/>
        </w:rPr>
        <w:t xml:space="preserve">Estimate, not a commitment. Actual count depends on workstream scoping after red-line.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3280"/>
      </w:tblGrid>
      <w:tr>
        <w:trPr>
          <w:tblHeader/>
        </w:trPr>
        <w:tc>
          <w:tcPr>
            <w:tcW w:type="dxa" w:w="360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w:t>
            </w:r>
          </w:p>
        </w:tc>
        <w:tc>
          <w:tcPr>
            <w:tcW w:type="dxa" w:w="160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Workstreams</w:t>
            </w:r>
          </w:p>
        </w:tc>
        <w:tc>
          <w:tcPr>
            <w:tcW w:type="dxa" w:w="160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New rows (est)</w:t>
            </w:r>
          </w:p>
        </w:tc>
        <w:tc>
          <w:tcPr>
            <w:tcW w:type="dxa" w:w="3280"/>
            <w:tcBorders>
              <w:top w:val="single" w:color="CCCCCC" w:sz="4"/>
              <w:left w:val="single" w:color="CCCCCC" w:sz="4"/>
              <w:bottom w:val="single" w:color="CCCCCC" w:sz="4"/>
              <w:right w:val="single" w:color="CCCCCC" w:sz="4"/>
            </w:tcBorders>
            <w:shd w:fill="043971"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TCC Expansion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7</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~40</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Core 5 × 7 + select optional extras; trim for CJIS docs-only</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NG911 Refresh</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~28</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Cutover workstream carries Go-Live + Back-out; Decommission is leaner</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VuWall</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~22</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Two workstreams are docs-only or decision-only</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Total new rows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17</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~90</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SP moves from 208 → ~298; still far below the original 914</w:t>
            </w:r>
          </w:p>
        </w:tc>
      </w:tr>
    </w:tbl>
    <w:p>
      <w:pPr>
        <w:pStyle w:val="Heading1"/>
        <w:spacing w:after="160" w:before="280"/>
      </w:pPr>
      <w:r>
        <w:rPr>
          <w:rFonts w:ascii="Arial" w:cs="Arial" w:eastAsia="Arial" w:hAnsi="Arial"/>
          <w:b/>
          <w:bCs/>
          <w:color w:val="043971"/>
          <w:sz w:val="32"/>
          <w:szCs w:val="32"/>
        </w:rPr>
        <w:t xml:space="preserve">Proposed sequencing</w:t>
      </w:r>
    </w:p>
    <w:p>
      <w:pPr>
        <w:pStyle w:val="ListParagraph"/>
        <w:numPr>
          <w:ilvl w:val="0"/>
          <w:numId w:val="2"/>
        </w:numPr>
        <w:spacing w:after="40" w:before="40"/>
      </w:pPr>
      <w:r>
        <w:rPr>
          <w:rFonts w:ascii="Arial" w:cs="Arial" w:eastAsia="Arial" w:hAnsi="Arial"/>
          <w:sz w:val="22"/>
          <w:szCs w:val="22"/>
        </w:rPr>
        <w:t xml:space="preserve">PM red-lines this draft. Adjust workstream list, template fit, row count estimates.</w:t>
      </w:r>
    </w:p>
    <w:p>
      <w:pPr>
        <w:pStyle w:val="ListParagraph"/>
        <w:numPr>
          <w:ilvl w:val="0"/>
          <w:numId w:val="2"/>
        </w:numPr>
        <w:spacing w:after="40" w:before="40"/>
      </w:pPr>
      <w:r>
        <w:rPr>
          <w:rFonts w:ascii="Arial" w:cs="Arial" w:eastAsia="Arial" w:hAnsi="Arial"/>
          <w:sz w:val="22"/>
          <w:szCs w:val="22"/>
        </w:rPr>
        <w:t xml:space="preserve">Produce TCC_IS_WBS_v3.2_draft.xlsx with the proposed rows filled in (Title, Project, TaskType, Workstream, optional Notes).</w:t>
      </w:r>
    </w:p>
    <w:p>
      <w:pPr>
        <w:pStyle w:val="ListParagraph"/>
        <w:numPr>
          <w:ilvl w:val="0"/>
          <w:numId w:val="2"/>
        </w:numPr>
        <w:spacing w:after="40" w:before="40"/>
      </w:pPr>
      <w:r>
        <w:rPr>
          <w:rFonts w:ascii="Arial" w:cs="Arial" w:eastAsia="Arial" w:hAnsi="Arial"/>
          <w:sz w:val="22"/>
          <w:szCs w:val="22"/>
        </w:rPr>
        <w:t xml:space="preserve">Second red-line on the actual rows (titles, any dropped items).</w:t>
      </w:r>
    </w:p>
    <w:p>
      <w:pPr>
        <w:pStyle w:val="ListParagraph"/>
        <w:numPr>
          <w:ilvl w:val="0"/>
          <w:numId w:val="2"/>
        </w:numPr>
        <w:spacing w:after="40" w:before="40"/>
      </w:pPr>
      <w:r>
        <w:rPr>
          <w:rFonts w:ascii="Arial" w:cs="Arial" w:eastAsia="Arial" w:hAnsi="Arial"/>
          <w:sz w:val="22"/>
          <w:szCs w:val="22"/>
        </w:rPr>
        <w:t xml:space="preserve">Bulk-import to SP via Claude-in-Chrome SP REST (proven pattern; no manual data entry).</w:t>
      </w:r>
    </w:p>
    <w:p>
      <w:pPr>
        <w:pStyle w:val="ListParagraph"/>
        <w:numPr>
          <w:ilvl w:val="0"/>
          <w:numId w:val="2"/>
        </w:numPr>
        <w:spacing w:after="40" w:before="40"/>
      </w:pPr>
      <w:r>
        <w:rPr>
          <w:rFonts w:ascii="Arial" w:cs="Arial" w:eastAsia="Arial" w:hAnsi="Arial"/>
          <w:sz w:val="22"/>
          <w:szCs w:val="22"/>
        </w:rPr>
        <w:t xml:space="preserve">Then execute the v32.10 UI refactor — mini-tracks source from TaskType, so the new placeholders render immediately without additional UI work.</w:t>
      </w:r>
    </w:p>
    <w:p>
      <w:pPr>
        <w:spacing w:after="120" w:before="100"/>
      </w:pPr>
      <w:r>
        <w:rPr>
          <w:rFonts w:ascii="Arial" w:cs="Arial" w:eastAsia="Arial" w:hAnsi="Arial"/>
          <w:i/>
          <w:iCs/>
          <w:color w:val="555555"/>
          <w:sz w:val="22"/>
          <w:szCs w:val="22"/>
        </w:rPr>
        <w:t xml:space="preserve">Pausing v32.10 until the WBS update lands avoids shipping a sparse UI that would want a second pass the next day.</w:t>
      </w:r>
    </w:p>
    <w:p>
      <w:pPr>
        <w:pStyle w:val="Heading1"/>
        <w:spacing w:after="160" w:before="280"/>
      </w:pPr>
      <w:r>
        <w:rPr>
          <w:rFonts w:ascii="Arial" w:cs="Arial" w:eastAsia="Arial" w:hAnsi="Arial"/>
          <w:b/>
          <w:bCs/>
          <w:color w:val="043971"/>
          <w:sz w:val="32"/>
          <w:szCs w:val="32"/>
        </w:rPr>
        <w:t xml:space="preserve">Open questions for PM</w:t>
      </w:r>
    </w:p>
    <w:p>
      <w:pPr>
        <w:pStyle w:val="ListParagraph"/>
        <w:numPr>
          <w:ilvl w:val="0"/>
          <w:numId w:val="3"/>
        </w:numPr>
        <w:spacing w:after="40" w:before="40"/>
      </w:pPr>
      <w:r>
        <w:rPr>
          <w:rFonts w:ascii="Arial" w:cs="Arial" w:eastAsia="Arial" w:hAnsi="Arial"/>
          <w:sz w:val="22"/>
          <w:szCs w:val="22"/>
        </w:rPr>
        <w:t xml:space="preserve">Workstream lists above — anything missing? Likely candidates I’m less sure about: Solacom NG911 Integration as a TCC workstream; Room 1007 Move as its own workstream vs. folded into PC Deployment; BCA Approval wait states as first-class workstreams.</w:t>
      </w:r>
    </w:p>
    <w:p>
      <w:pPr>
        <w:pStyle w:val="ListParagraph"/>
        <w:numPr>
          <w:ilvl w:val="0"/>
          <w:numId w:val="3"/>
        </w:numPr>
        <w:spacing w:after="40" w:before="40"/>
      </w:pPr>
      <w:r>
        <w:rPr>
          <w:rFonts w:ascii="Arial" w:cs="Arial" w:eastAsia="Arial" w:hAnsi="Arial"/>
          <w:sz w:val="22"/>
          <w:szCs w:val="22"/>
        </w:rPr>
        <w:t xml:space="preserve">Back-out plans — are the five I’ve flagged the right set (Network × 2, NG911 Cloud Config, NG911 Cutover, high-risk only), or do you want it on every cutover?</w:t>
      </w:r>
    </w:p>
    <w:p>
      <w:pPr>
        <w:pStyle w:val="ListParagraph"/>
        <w:numPr>
          <w:ilvl w:val="0"/>
          <w:numId w:val="3"/>
        </w:numPr>
        <w:spacing w:after="40" w:before="40"/>
      </w:pPr>
      <w:r>
        <w:rPr>
          <w:rFonts w:ascii="Arial" w:cs="Arial" w:eastAsia="Arial" w:hAnsi="Arial"/>
          <w:sz w:val="22"/>
          <w:szCs w:val="22"/>
        </w:rPr>
        <w:t xml:space="preserve">Go-Live TaskType — which TCC Expansion workstreams have their go-live tied to construction completion (Construction Gate) vs. independent (Milestone)?</w:t>
      </w:r>
    </w:p>
    <w:p>
      <w:pPr>
        <w:pStyle w:val="ListParagraph"/>
        <w:numPr>
          <w:ilvl w:val="0"/>
          <w:numId w:val="3"/>
        </w:numPr>
        <w:spacing w:after="40" w:before="40"/>
      </w:pPr>
      <w:r>
        <w:rPr>
          <w:rFonts w:ascii="Arial" w:cs="Arial" w:eastAsia="Arial" w:hAnsi="Arial"/>
          <w:sz w:val="22"/>
          <w:szCs w:val="22"/>
        </w:rPr>
        <w:t xml:space="preserve">Documentation-only workstreams — drop to Requirements → Deliverable → Sign-Off (3 rows), or keep a lightweight Testing step for doc review/approval evidence?</w:t>
      </w:r>
    </w:p>
    <w:p>
      <w:pPr>
        <w:pStyle w:val="ListParagraph"/>
        <w:numPr>
          <w:ilvl w:val="0"/>
          <w:numId w:val="3"/>
        </w:numPr>
        <w:spacing w:after="40" w:before="40"/>
      </w:pPr>
      <w:r>
        <w:rPr>
          <w:rFonts w:ascii="Arial" w:cs="Arial" w:eastAsia="Arial" w:hAnsi="Arial"/>
          <w:sz w:val="22"/>
          <w:szCs w:val="22"/>
        </w:rPr>
        <w:t xml:space="preserve">Naming convention for the new rows — e.g., "NG911 Cutover · Testing" or "Cutover — Testing" or no prefix? Affects how they sort on SP default views.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Arial" w:cs="Arial" w:eastAsia="Arial" w:hAnsi="Arial"/>
        <w:color w:val="555555"/>
        <w:sz w:val="16"/>
        <w:szCs w:val="16"/>
      </w:rPr>
      <w:t xml:space="preserve">TCC IS Portfolio Hub · WBS v3.2 Draft · 2026-04-22</w:t>
    </w:r>
    <w:r>
      <w:rPr>
        <w:rFonts w:ascii="Arial" w:cs="Arial" w:eastAsia="Arial" w:hAnsi="Arial"/>
        <w:sz w:val="16"/>
        <w:szCs w:val="16"/>
      </w:rP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43971"/>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4397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TCC IS WBS v3.2 Placeholder Plan</dc:title>
  <dc:creator>TCC IS Portfolio Hub</dc:creator>
  <dc:description>Draft plan to restore standard IT lifecycle scaffolding to the pared WBS</dc:description>
  <cp:lastModifiedBy>Un-named</cp:lastModifiedBy>
  <cp:revision>1</cp:revision>
  <dcterms:created xsi:type="dcterms:W3CDTF">2026-04-22T20:59:30.130Z</dcterms:created>
  <dcterms:modified xsi:type="dcterms:W3CDTF">2026-04-22T20:59:30.130Z</dcterms:modified>
</cp:coreProperties>
</file>

<file path=docProps/custom.xml><?xml version="1.0" encoding="utf-8"?>
<Properties xmlns="http://schemas.openxmlformats.org/officeDocument/2006/custom-properties" xmlns:vt="http://schemas.openxmlformats.org/officeDocument/2006/docPropsVTypes"/>
</file>