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Questions Snapshot — 2026-06-28</w:t>
      </w:r>
    </w:p>
    <w:p>
      <w:r>
        <w:t>Answered by Michael on 2026-06-28</w:t>
      </w:r>
    </w:p>
    <w:p>
      <w:r>
        <w:t>Total questions: 5</w:t>
      </w:r>
    </w:p>
    <w:p>
      <w:r>
        <w:t>Source: Q-001 receive-watch discovery (Q-20260626-001 through Q-20260626-005)</w:t>
      </w:r>
    </w:p>
    <w:p>
      <w:pPr>
        <w:pStyle w:val="Heading1"/>
      </w:pPr>
      <w:r>
        <w:t>Q-20260626-001</w:t>
      </w:r>
    </w:p>
    <w:p>
      <w:r>
        <w:t>Question: Does the multi-estimate-per-package workflow exist in code?</w:t>
      </w:r>
    </w:p>
    <w:p>
      <w:r>
        <w:t>YOUR ANSWER:</w:t>
      </w:r>
    </w:p>
    <w:p>
      <w:r>
        <w:rPr>
          <w:b/>
        </w:rPr>
        <w:t>Not implemented — but needed. Multi-estimate-per-tracking is a real recurring workflow that must be supported in the rebuild. Two patterns: (a) one client shipping multiple jobs on one tracking number, (b) two related clients (e.g., husband and wife) shipping together. The rebuild must support assigning multiple estimates to a single inbound package + backfill workflow when intake happens before estimate creation.</w:t>
      </w:r>
    </w:p>
    <w:p>
      <w:pPr>
        <w:pStyle w:val="Heading1"/>
      </w:pPr>
      <w:r>
        <w:t>Q-20260626-002</w:t>
      </w:r>
    </w:p>
    <w:p>
      <w:r>
        <w:t>Question: Should received_bracelet / received_case be derived from itemType or from receivedComponents?</w:t>
      </w:r>
    </w:p>
    <w:p>
      <w:r>
        <w:t>YOUR ANSWER:</w:t>
      </w:r>
    </w:p>
    <w:p>
      <w:r>
        <w:rPr>
          <w:b/>
        </w:rPr>
        <w:t>Derive from actual received components, not itemType. The mental model is that "received case + bracelet without movement" is a real (non-service) intake pattern. Component-to-watch matching also breaks the simple itemType assumption — sometimes a single intake contains a husband's watch head + wife's bracelet, or components from 3 different watches dropped by another watchmaker. The rebuild needs a multi-item entry pattern with auto-numbering (1 of 2, 2 of 2) so each piece can be tracked independently.</w:t>
      </w:r>
    </w:p>
    <w:p>
      <w:pPr>
        <w:pStyle w:val="Heading1"/>
      </w:pPr>
      <w:r>
        <w:t>Q-20260626-003</w:t>
      </w:r>
    </w:p>
    <w:p>
      <w:r>
        <w:t>Question: Does Shop Floor get triggered from intake at all?</w:t>
      </w:r>
    </w:p>
    <w:p>
      <w:r>
        <w:t>YOUR ANSWER:</w:t>
      </w:r>
    </w:p>
    <w:p>
      <w:r>
        <w:rPr>
          <w:b/>
        </w:rPr>
        <w:t>This is bigger than a Shop Floor trigger question. The canonical pattern is two-stage: Stage 1 (Drop-off + Shipping Receive pages) captures possession — what physically arrived. Stage 2 (Receive Watch page) is a verification and inventory commit layer — verifies Stage 1 matches reality, then commits to inventory. The two stages must be auditable against each other to prevent theft and provide a searchable log. Shop Floor's "components aren't registered" failure is downstream of this pattern not being enforced. See D-019.</w:t>
      </w:r>
    </w:p>
    <w:p>
      <w:pPr>
        <w:pStyle w:val="Heading1"/>
      </w:pPr>
      <w:r>
        <w:t>Q-20260626-004</w:t>
      </w:r>
    </w:p>
    <w:p>
      <w:r>
        <w:t>Question: What minimum component data does Shop Floor need?</w:t>
      </w:r>
    </w:p>
    <w:p>
      <w:r>
        <w:t>YOUR ANSWER:</w:t>
      </w:r>
    </w:p>
    <w:p>
      <w:r>
        <w:rPr>
          <w:b/>
        </w:rPr>
        <w:t>Component data varies by type. Watch case: serial number if readable (sometimes not). Bracelet: model number or name, sometimes date code. Other items: name only. Schema must accommodate optional identifiers per component type — not all components have all fields.</w:t>
      </w:r>
    </w:p>
    <w:p>
      <w:pPr>
        <w:pStyle w:val="Heading1"/>
      </w:pPr>
      <w:r>
        <w:t>Q-20260626-005</w:t>
      </w:r>
    </w:p>
    <w:p>
      <w:r>
        <w:t>Question: Is custody_status used by any downstream system?</w:t>
      </w:r>
    </w:p>
    <w:p>
      <w:r>
        <w:t>YOUR ANSWER:</w:t>
      </w:r>
    </w:p>
    <w:p>
      <w:r>
        <w:rPr>
          <w:b/>
        </w:rPr>
        <w:t>Currently used only for sales order generation and label reprinting. "This is bad." The rebuild must provide a visual layer for client asset visibility plus an audit capability. custody_status becomes the foundation of the chain-of-custody system (D-015), not a deprecated field. Real-time visibility — what's in the safe, what's at which station, what's released — is a core operational need.</w:t>
      </w:r>
    </w:p>
    <w:p>
      <w:r>
        <w:br w:type="page"/>
      </w:r>
    </w:p>
    <w:p>
      <w:pPr>
        <w:pStyle w:val="Heading1"/>
      </w:pPr>
      <w:r>
        <w:t>Regeneration prompt</w:t>
      </w:r>
    </w:p>
    <w:p>
      <w:r>
        <w:t>See documentation/queue-exports/README.md for the full questions snapshot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