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4272" w14:textId="77777777" w:rsidR="00EF51D9" w:rsidRDefault="008A5BA6">
      <w:pPr>
        <w:keepNext/>
        <w:spacing w:line="480" w:lineRule="auto"/>
        <w:jc w:val="center"/>
      </w:pPr>
      <w:r>
        <w:rPr>
          <w:b/>
          <w:bCs/>
        </w:rPr>
        <w:t>Research Design: Home Run Derby Participation and Change in Batted-Ball Approach</w:t>
      </w:r>
    </w:p>
    <w:p w14:paraId="40384273" w14:textId="77777777" w:rsidR="00EF51D9" w:rsidRDefault="008A5BA6">
      <w:pPr>
        <w:spacing w:line="480" w:lineRule="auto"/>
        <w:ind w:firstLine="720"/>
      </w:pPr>
      <w:r>
        <w:t>This design builds on the domain and skill review by narrowing the research question from performance to approach: performance statistics such as OPS and WAR are shaped by pitching, defense, and luck as well as by a hitter's own swing, so a real change in approach can be masked or exaggerated over a second half of roughly 65 to 70 games, while batted-ball data describes what the hitter is doing more directly. The research question is: how, if at all, does a Home Run Derby participant's batted-ball profile c</w:t>
      </w:r>
      <w:r>
        <w:t>hange from the first half to the second half of the season, relative to a matched group of non-participating All-Stars?</w:t>
      </w:r>
    </w:p>
    <w:p w14:paraId="40384274" w14:textId="77777777" w:rsidR="00EF51D9" w:rsidRDefault="008A5BA6">
      <w:pPr>
        <w:spacing w:line="480" w:lineRule="auto"/>
        <w:ind w:firstLine="720"/>
      </w:pPr>
      <w:r>
        <w:t xml:space="preserve">The cause under study is Derby participation; the proposed effect is a shift toward a more pull-side, air-ball-dominant profile. This has a mechanical basis: Derby success rewards pulling the ball in the air, which requires contact earlier in the pitch's flight, and Giordano et al. (2026) found contact depth closely tied to swing attack angle, while Nakashima et al. (2025) showed the acceptable timing window at impact is only several milliseconds and depends on swing path. Repeated maximal-effort, pull-air </w:t>
      </w:r>
      <w:r>
        <w:t>swings could plausibly leave a trace in a player's regular swing timing, which this design tests for directly rather than assuming.</w:t>
      </w:r>
    </w:p>
    <w:p w14:paraId="40384275" w14:textId="77777777" w:rsidR="00EF51D9" w:rsidRDefault="008A5BA6">
      <w:pPr>
        <w:keepNext/>
        <w:spacing w:before="120" w:line="480" w:lineRule="auto"/>
      </w:pPr>
      <w:r>
        <w:rPr>
          <w:b/>
          <w:bCs/>
        </w:rPr>
        <w:t>Purpose and Causal Logic</w:t>
      </w:r>
    </w:p>
    <w:p w14:paraId="40384276" w14:textId="77777777" w:rsidR="00EF51D9" w:rsidRDefault="008A5BA6">
      <w:pPr>
        <w:spacing w:line="480" w:lineRule="auto"/>
        <w:ind w:firstLine="720"/>
      </w:pPr>
      <w:r>
        <w:t xml:space="preserve">This is a non-experimental study: a player is invited to the Derby based on first-half home run totals and chooses whether to accept, so participation is self-selected on exactly the kind of hitter who already favors an extreme, pull-air approach. The design can at most show whether </w:t>
      </w:r>
      <w:proofErr w:type="gramStart"/>
      <w:r>
        <w:t>participants'</w:t>
      </w:r>
      <w:proofErr w:type="gramEnd"/>
      <w:r>
        <w:t xml:space="preserve"> batted-ball profiles shifted more than a matched comparison </w:t>
      </w:r>
      <w:proofErr w:type="gramStart"/>
      <w:r>
        <w:t>group's</w:t>
      </w:r>
      <w:proofErr w:type="gramEnd"/>
      <w:r>
        <w:t xml:space="preserve">, after accounting for first-half level to net out ordinary regression to the mean (Barnett, van der Pols, &amp; Dobson, 2005). It cannot rule out unmeasured factors correlated with both Derby selection and a swing change (a coaching adjustment made for unrelated reasons, say), and it cannot generalize </w:t>
      </w:r>
      <w:r>
        <w:lastRenderedPageBreak/>
        <w:t xml:space="preserve">beyond the seasons and formats studied. In short, </w:t>
      </w:r>
      <w:proofErr w:type="gramStart"/>
      <w:r>
        <w:t>the design</w:t>
      </w:r>
      <w:proofErr w:type="gramEnd"/>
      <w:r>
        <w:t xml:space="preserve"> supports a claim of association under a controlled comparison, not cau</w:t>
      </w:r>
      <w:r>
        <w:t>sation in the experimental sense.</w:t>
      </w:r>
    </w:p>
    <w:p w14:paraId="40384277" w14:textId="77777777" w:rsidR="00EF51D9" w:rsidRDefault="008A5BA6">
      <w:pPr>
        <w:spacing w:line="480" w:lineRule="auto"/>
        <w:ind w:firstLine="720"/>
      </w:pPr>
      <w:r>
        <w:t xml:space="preserve">The comparison group pairs each participant with a non-participating All-Star of similar first-half swing profile, a quasi-experimental matched design in the spirit of </w:t>
      </w:r>
      <w:proofErr w:type="spellStart"/>
      <w:r>
        <w:t>DeFroda</w:t>
      </w:r>
      <w:proofErr w:type="spellEnd"/>
      <w:r>
        <w:t xml:space="preserve"> et al. (2021) and Sobol et al. (2024), matched on swing approach rather than home run total. If too few comparable non-participants exist within a cluster, the backup design falls back to a within-subject comparison following </w:t>
      </w:r>
      <w:proofErr w:type="spellStart"/>
      <w:r>
        <w:t>Jaiclin</w:t>
      </w:r>
      <w:proofErr w:type="spellEnd"/>
      <w:r>
        <w:t xml:space="preserve"> and McCollum (2010): each participant's Derby-year shift against their own shift in seasons without participation, which removes between-player confounds but requires multiple seasons per player and reintroduces era-level differences (the 2026 format change, say) as a c</w:t>
      </w:r>
      <w:r>
        <w:t>onfound of its own.</w:t>
      </w:r>
    </w:p>
    <w:p w14:paraId="40384278" w14:textId="77777777" w:rsidR="00EF51D9" w:rsidRDefault="008A5BA6">
      <w:pPr>
        <w:keepNext/>
        <w:spacing w:before="120" w:line="480" w:lineRule="auto"/>
      </w:pPr>
      <w:r>
        <w:rPr>
          <w:b/>
          <w:bCs/>
        </w:rPr>
        <w:t>Data</w:t>
      </w:r>
    </w:p>
    <w:p w14:paraId="40384279" w14:textId="77777777" w:rsidR="00EF51D9" w:rsidRDefault="008A5BA6">
      <w:pPr>
        <w:spacing w:line="480" w:lineRule="auto"/>
        <w:ind w:firstLine="720"/>
      </w:pPr>
      <w:r>
        <w:t>Data will be drawn from three public sources, summarized in Table 1: Baseball Savant, FanGraphs, and Baseball-Reference, all freely browsable and used routinely in peer-reviewed baseball analytics work (</w:t>
      </w:r>
      <w:proofErr w:type="spellStart"/>
      <w:r>
        <w:t>Koseler</w:t>
      </w:r>
      <w:proofErr w:type="spellEnd"/>
      <w:r>
        <w:t xml:space="preserve"> &amp; Stephan, 2017). Savant's data is made available by MLB for public research and analysis; FanGraphs and Baseball-Reference permit non-commercial academic use with attribution. No data will be resold or redistributed, and no permission beyond attribution is required.</w:t>
      </w:r>
    </w:p>
    <w:p w14:paraId="4038427A" w14:textId="77777777" w:rsidR="00EF51D9" w:rsidRDefault="008A5BA6">
      <w:pPr>
        <w:spacing w:line="480" w:lineRule="auto"/>
        <w:ind w:firstLine="720"/>
      </w:pPr>
      <w:r>
        <w:t xml:space="preserve">One variable will be hand-coded rather than pulled directly: home-run-specific spray direction, split by half-season, since Savant exports overall batted-ball direction only as a season aggregate. Each home run will be classified as pull, middle, or opposite field from the player's </w:t>
      </w:r>
      <w:proofErr w:type="spellStart"/>
      <w:r>
        <w:t>Statcast</w:t>
      </w:r>
      <w:proofErr w:type="spellEnd"/>
      <w:r>
        <w:t xml:space="preserve"> spray chart (handedness defines "pull") using a written codebook fixed before coding begins, with about 10% re-coded blind afterward to check consistency, since this is the one step depending on human judgment.</w:t>
      </w:r>
    </w:p>
    <w:p w14:paraId="4038427B" w14:textId="77777777" w:rsidR="00EF51D9" w:rsidRDefault="00EF51D9">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4553"/>
        <w:gridCol w:w="2399"/>
      </w:tblGrid>
      <w:tr w:rsidR="00EF51D9" w14:paraId="4038427F" w14:textId="77777777">
        <w:tblPrEx>
          <w:tblCellMar>
            <w:top w:w="0" w:type="dxa"/>
            <w:bottom w:w="0" w:type="dxa"/>
          </w:tblCellMar>
        </w:tblPrEx>
        <w:tc>
          <w:tcPr>
            <w:tcW w:w="2400" w:type="dxa"/>
            <w:shd w:val="clear" w:color="auto" w:fill="D9D9D9"/>
          </w:tcPr>
          <w:p w14:paraId="4038427C" w14:textId="77777777" w:rsidR="00EF51D9" w:rsidRDefault="008A5BA6">
            <w:r>
              <w:rPr>
                <w:b/>
                <w:bCs/>
              </w:rPr>
              <w:t>Source</w:t>
            </w:r>
          </w:p>
        </w:tc>
        <w:tc>
          <w:tcPr>
            <w:tcW w:w="4560" w:type="dxa"/>
            <w:shd w:val="clear" w:color="auto" w:fill="D9D9D9"/>
          </w:tcPr>
          <w:p w14:paraId="4038427D" w14:textId="77777777" w:rsidR="00EF51D9" w:rsidRDefault="008A5BA6">
            <w:r>
              <w:rPr>
                <w:b/>
                <w:bCs/>
              </w:rPr>
              <w:t>Primary variables pulled</w:t>
            </w:r>
          </w:p>
        </w:tc>
        <w:tc>
          <w:tcPr>
            <w:tcW w:w="2400" w:type="dxa"/>
            <w:shd w:val="clear" w:color="auto" w:fill="D9D9D9"/>
          </w:tcPr>
          <w:p w14:paraId="4038427E" w14:textId="77777777" w:rsidR="00EF51D9" w:rsidRDefault="008A5BA6">
            <w:r>
              <w:rPr>
                <w:b/>
                <w:bCs/>
              </w:rPr>
              <w:t>Use policy</w:t>
            </w:r>
          </w:p>
        </w:tc>
      </w:tr>
      <w:tr w:rsidR="00EF51D9" w14:paraId="40384283" w14:textId="77777777">
        <w:tblPrEx>
          <w:tblCellMar>
            <w:top w:w="0" w:type="dxa"/>
            <w:bottom w:w="0" w:type="dxa"/>
          </w:tblCellMar>
        </w:tblPrEx>
        <w:tc>
          <w:tcPr>
            <w:tcW w:w="2400" w:type="dxa"/>
          </w:tcPr>
          <w:p w14:paraId="40384280" w14:textId="77777777" w:rsidR="00EF51D9" w:rsidRDefault="008A5BA6">
            <w:r>
              <w:t>Baseball Savant</w:t>
            </w:r>
          </w:p>
        </w:tc>
        <w:tc>
          <w:tcPr>
            <w:tcW w:w="4560" w:type="dxa"/>
          </w:tcPr>
          <w:p w14:paraId="40384281" w14:textId="77777777" w:rsidR="00EF51D9" w:rsidRDefault="008A5BA6">
            <w:r>
              <w:t>Exit velocity, launch angle, pull/oppo%, barrel%, bat speed/attack angle (2023+), HR spray charts</w:t>
            </w:r>
          </w:p>
        </w:tc>
        <w:tc>
          <w:tcPr>
            <w:tcW w:w="2400" w:type="dxa"/>
          </w:tcPr>
          <w:p w14:paraId="40384282" w14:textId="77777777" w:rsidR="00EF51D9" w:rsidRDefault="008A5BA6">
            <w:r>
              <w:t>Public research/commentary use</w:t>
            </w:r>
          </w:p>
        </w:tc>
      </w:tr>
      <w:tr w:rsidR="00EF51D9" w14:paraId="40384287" w14:textId="77777777">
        <w:tblPrEx>
          <w:tblCellMar>
            <w:top w:w="0" w:type="dxa"/>
            <w:bottom w:w="0" w:type="dxa"/>
          </w:tblCellMar>
        </w:tblPrEx>
        <w:tc>
          <w:tcPr>
            <w:tcW w:w="2400" w:type="dxa"/>
          </w:tcPr>
          <w:p w14:paraId="40384284" w14:textId="77777777" w:rsidR="00EF51D9" w:rsidRDefault="008A5BA6">
            <w:r>
              <w:t>FanGraphs</w:t>
            </w:r>
          </w:p>
        </w:tc>
        <w:tc>
          <w:tcPr>
            <w:tcW w:w="4560" w:type="dxa"/>
          </w:tcPr>
          <w:p w14:paraId="40384285" w14:textId="77777777" w:rsidR="00EF51D9" w:rsidRDefault="008A5BA6">
            <w:r>
              <w:t xml:space="preserve">Split-season OPS, </w:t>
            </w:r>
            <w:proofErr w:type="spellStart"/>
            <w:r>
              <w:t>wOBA</w:t>
            </w:r>
            <w:proofErr w:type="spellEnd"/>
            <w:r>
              <w:t>, K%, BB%, WAR, plate appearances</w:t>
            </w:r>
          </w:p>
        </w:tc>
        <w:tc>
          <w:tcPr>
            <w:tcW w:w="2400" w:type="dxa"/>
          </w:tcPr>
          <w:p w14:paraId="40384286" w14:textId="77777777" w:rsidR="00EF51D9" w:rsidRDefault="008A5BA6">
            <w:r>
              <w:t>Non-commercial academic use, attribution</w:t>
            </w:r>
          </w:p>
        </w:tc>
      </w:tr>
      <w:tr w:rsidR="00EF51D9" w14:paraId="4038428B" w14:textId="77777777">
        <w:tblPrEx>
          <w:tblCellMar>
            <w:top w:w="0" w:type="dxa"/>
            <w:bottom w:w="0" w:type="dxa"/>
          </w:tblCellMar>
        </w:tblPrEx>
        <w:tc>
          <w:tcPr>
            <w:tcW w:w="2400" w:type="dxa"/>
          </w:tcPr>
          <w:p w14:paraId="40384288" w14:textId="77777777" w:rsidR="00EF51D9" w:rsidRDefault="008A5BA6">
            <w:r>
              <w:t>Baseball-Reference</w:t>
            </w:r>
          </w:p>
        </w:tc>
        <w:tc>
          <w:tcPr>
            <w:tcW w:w="4560" w:type="dxa"/>
          </w:tcPr>
          <w:p w14:paraId="40384289" w14:textId="77777777" w:rsidR="00EF51D9" w:rsidRDefault="008A5BA6">
            <w:r>
              <w:t>Season schedule, All-Star break date, All-Star rosters, split stats</w:t>
            </w:r>
          </w:p>
        </w:tc>
        <w:tc>
          <w:tcPr>
            <w:tcW w:w="2400" w:type="dxa"/>
          </w:tcPr>
          <w:p w14:paraId="4038428A" w14:textId="77777777" w:rsidR="00EF51D9" w:rsidRDefault="008A5BA6">
            <w:r>
              <w:t>Non-commercial academic use, attribution</w:t>
            </w:r>
          </w:p>
        </w:tc>
      </w:tr>
    </w:tbl>
    <w:p w14:paraId="4038428C" w14:textId="77777777" w:rsidR="00EF51D9" w:rsidRDefault="00EF51D9">
      <w:pPr>
        <w:spacing w:before="120"/>
      </w:pPr>
    </w:p>
    <w:p w14:paraId="4038428D" w14:textId="77777777" w:rsidR="00EF51D9" w:rsidRDefault="008A5BA6">
      <w:pPr>
        <w:spacing w:line="480" w:lineRule="auto"/>
        <w:ind w:firstLine="720"/>
      </w:pPr>
      <w:r>
        <w:t xml:space="preserve">The three sources use three different player identifiers (an MLBAM ID on Savant, a separate FanGraphs ID, a separate Baseball-Reference key), merged via a crosswalk (the Chadwick Bureau register, through </w:t>
      </w:r>
      <w:proofErr w:type="spellStart"/>
      <w:r>
        <w:t>pybaseball</w:t>
      </w:r>
      <w:proofErr w:type="spellEnd"/>
      <w:r>
        <w:t>) rather than by name, since names collide and are spelled inconsistently across sites. The data form a player-season-half panel: first half and second half nested within season, nested within player, with multiple seasons pooled once collection is complete. Inclusion criteria are a minimum plate-appearance total in both halves and position players only. Timer-based seasons (2015-2025) and the swing-based 2026 format are kept as separate regimes given the difference in swing volume, and bat-tracki</w:t>
      </w:r>
      <w:r>
        <w:t>ng variables (bat speed, attack angle) are restricted to 2023 onward, excluding earlier seasons from that part of the analysis only. All data describe public, on-field performance with no private information or institutional-review concerns; the main bias risks are the manual coding, addressed above, and which comparison players are available to match against, addressed by the clustering and backup-design logic above.</w:t>
      </w:r>
    </w:p>
    <w:p w14:paraId="4038428E" w14:textId="77777777" w:rsidR="00EF51D9" w:rsidRDefault="008A5BA6">
      <w:pPr>
        <w:keepNext/>
        <w:spacing w:before="120" w:line="480" w:lineRule="auto"/>
      </w:pPr>
      <w:r>
        <w:rPr>
          <w:b/>
          <w:bCs/>
        </w:rPr>
        <w:t>Statistical Analysis</w:t>
      </w:r>
    </w:p>
    <w:p w14:paraId="4038428F" w14:textId="77777777" w:rsidR="00EF51D9" w:rsidRDefault="008A5BA6">
      <w:pPr>
        <w:spacing w:line="480" w:lineRule="auto"/>
        <w:ind w:firstLine="720"/>
      </w:pPr>
      <w:r>
        <w:t xml:space="preserve">The analysis proceeds in three steps. First, PCA will reduce the standardized batted-ball and swing-trait variables (pull%, air-ball%, launch-angle distribution, exit velocity, strikeout rate, and, where available, bat speed and attack angle) into a small number of components </w:t>
      </w:r>
      <w:r>
        <w:lastRenderedPageBreak/>
        <w:t xml:space="preserve">describing a hitter's overall approach, following Abdi and Williams (2010) and the retention guidance in Jolliffe and Cadima (2016). Hitters will then be grouped on their first-half component scores using k-means clustering, with the number of clusters chosen by the elbow method as in Camp, Sarris, and </w:t>
      </w:r>
      <w:proofErr w:type="spellStart"/>
      <w:r>
        <w:t>Dvorocsik</w:t>
      </w:r>
      <w:proofErr w:type="spellEnd"/>
      <w:r>
        <w:t xml:space="preserve"> (2020); this clustering both defines the pull-air approach category used as a moderator and supplies the pool from which each Derby participant's matched control is drawn.</w:t>
      </w:r>
    </w:p>
    <w:p w14:paraId="40384290" w14:textId="77777777" w:rsidR="00EF51D9" w:rsidRDefault="008A5BA6">
      <w:pPr>
        <w:spacing w:line="480" w:lineRule="auto"/>
        <w:ind w:firstLine="720"/>
      </w:pPr>
      <w:r>
        <w:t>Second, paired t-tests will test whether each player's first-half and second-half component scores (and individual rates such as strikeout rate and pull-air percentage) differ, and independent-samples t-tests will compare the size of that change between participants and their matched controls, with every difference reported as a 95% confidence interval rather than a p-value alone, since an interval on the size of the shift is more informative given a sample likely in the low hundreds.</w:t>
      </w:r>
    </w:p>
    <w:p w14:paraId="40384291" w14:textId="77777777" w:rsidR="00EF51D9" w:rsidRDefault="008A5BA6">
      <w:pPr>
        <w:spacing w:line="480" w:lineRule="auto"/>
        <w:ind w:firstLine="720"/>
      </w:pPr>
      <w:r>
        <w:t xml:space="preserve">Third, a multiple regression will predict each player's second-half component score from Derby participation, the first-half score (netting out regression to the mean, per Barnett et al., 2005, and </w:t>
      </w:r>
      <w:proofErr w:type="spellStart"/>
      <w:r>
        <w:t>Jaiclin</w:t>
      </w:r>
      <w:proofErr w:type="spellEnd"/>
      <w:r>
        <w:t xml:space="preserve"> &amp; McCollum, 2010), the pull-air moderator, and their interaction, mirroring the multivariable approach </w:t>
      </w:r>
      <w:proofErr w:type="spellStart"/>
      <w:r>
        <w:t>DeFroda</w:t>
      </w:r>
      <w:proofErr w:type="spellEnd"/>
      <w:r>
        <w:t xml:space="preserve"> et al. (2021) used for performance outcomes, applied here to approach instead. Before interpretation, assumptions will be checked (residual normality, homoscedasticity, variance inflation factors), cluster count validated with a silhouette score, and an a priori power calculation will establish what interaction effect size the design can realistically detect, so a null result is judged agai</w:t>
      </w:r>
      <w:r>
        <w:t>nst that benchmark rather than assumed to mean no effect exists.</w:t>
      </w:r>
    </w:p>
    <w:p w14:paraId="40384292" w14:textId="77777777" w:rsidR="00EF51D9" w:rsidRDefault="008A5BA6">
      <w:pPr>
        <w:spacing w:before="120" w:line="480" w:lineRule="auto"/>
      </w:pPr>
      <w:r>
        <w:rPr>
          <w:i/>
          <w:iCs/>
        </w:rPr>
        <w:t>Note.</w:t>
      </w:r>
      <w:r>
        <w:t xml:space="preserve"> A conceptual-model diagram will be added after the Oct. 5 class exercise.</w:t>
      </w:r>
    </w:p>
    <w:p w14:paraId="40384293" w14:textId="77777777" w:rsidR="00EF51D9" w:rsidRDefault="00EF51D9">
      <w:pPr>
        <w:pageBreakBefore/>
      </w:pPr>
    </w:p>
    <w:p w14:paraId="40384294" w14:textId="77777777" w:rsidR="00EF51D9" w:rsidRDefault="008A5BA6">
      <w:pPr>
        <w:keepNext/>
        <w:spacing w:line="480" w:lineRule="auto"/>
        <w:jc w:val="center"/>
      </w:pPr>
      <w:r>
        <w:rPr>
          <w:b/>
          <w:bCs/>
        </w:rPr>
        <w:t>References</w:t>
      </w:r>
    </w:p>
    <w:p w14:paraId="40384295" w14:textId="77777777" w:rsidR="00EF51D9" w:rsidRDefault="008A5BA6">
      <w:pPr>
        <w:spacing w:line="480" w:lineRule="auto"/>
        <w:ind w:left="720" w:hanging="720"/>
      </w:pPr>
      <w:r>
        <w:t xml:space="preserve">Abdi, H., &amp; Williams, L. J. (2010). Principal component analysis. </w:t>
      </w:r>
      <w:r>
        <w:rPr>
          <w:i/>
          <w:iCs/>
        </w:rPr>
        <w:t>WIREs Computational Statistics, 2</w:t>
      </w:r>
      <w:r>
        <w:t>(4), 433–459. https://doi.org/10.1002/wics.101</w:t>
      </w:r>
    </w:p>
    <w:p w14:paraId="40384296" w14:textId="77777777" w:rsidR="00EF51D9" w:rsidRDefault="008A5BA6">
      <w:pPr>
        <w:spacing w:line="480" w:lineRule="auto"/>
        <w:ind w:left="720" w:hanging="720"/>
      </w:pPr>
      <w:r>
        <w:t xml:space="preserve">Barnett, A. G., van der Pols, J. C., &amp; Dobson, A. J. (2005). Regression to the </w:t>
      </w:r>
      <w:proofErr w:type="gramStart"/>
      <w:r>
        <w:t>mean</w:t>
      </w:r>
      <w:proofErr w:type="gramEnd"/>
      <w:r>
        <w:t xml:space="preserve">: What it is and how to deal with it. </w:t>
      </w:r>
      <w:r>
        <w:rPr>
          <w:i/>
          <w:iCs/>
        </w:rPr>
        <w:t>International Journal of Epidemiology, 34</w:t>
      </w:r>
      <w:r>
        <w:t>(1), 215–220. https://doi.org/10.1093/ije/dyh299</w:t>
      </w:r>
    </w:p>
    <w:p w14:paraId="40384297" w14:textId="77777777" w:rsidR="00EF51D9" w:rsidRDefault="008A5BA6">
      <w:pPr>
        <w:spacing w:line="480" w:lineRule="auto"/>
        <w:ind w:left="720" w:hanging="720"/>
      </w:pPr>
      <w:r>
        <w:t xml:space="preserve">Camp, J., Sarris, E., &amp; </w:t>
      </w:r>
      <w:proofErr w:type="spellStart"/>
      <w:r>
        <w:t>Dvorocsik</w:t>
      </w:r>
      <w:proofErr w:type="spellEnd"/>
      <w:r>
        <w:t xml:space="preserve">, G. (2020). Using clustering to find pitch subtypes and effective pairings. </w:t>
      </w:r>
      <w:r>
        <w:rPr>
          <w:i/>
          <w:iCs/>
        </w:rPr>
        <w:t>Baseball Research Journal, 49</w:t>
      </w:r>
      <w:r>
        <w:t>(1). https://sabr.org/journal/article/using-clustering-to-find-pitch-subtypes-and-effective-pairings/</w:t>
      </w:r>
    </w:p>
    <w:p w14:paraId="40384298" w14:textId="77777777" w:rsidR="00EF51D9" w:rsidRDefault="008A5BA6">
      <w:pPr>
        <w:spacing w:line="480" w:lineRule="auto"/>
        <w:ind w:left="720" w:hanging="720"/>
      </w:pPr>
      <w:proofErr w:type="spellStart"/>
      <w:r>
        <w:t>DeFroda</w:t>
      </w:r>
      <w:proofErr w:type="spellEnd"/>
      <w:r>
        <w:t xml:space="preserve">, S. F., Staffa, S. J., Keeley, T., &amp; Kriz, P. K. (2021). Home Run Derby participation in Major League Baseball players: Is there associated injury risk and impact on second-half performance? </w:t>
      </w:r>
      <w:proofErr w:type="spellStart"/>
      <w:r>
        <w:rPr>
          <w:i/>
          <w:iCs/>
        </w:rPr>
        <w:t>Orthopaedic</w:t>
      </w:r>
      <w:proofErr w:type="spellEnd"/>
      <w:r>
        <w:rPr>
          <w:i/>
          <w:iCs/>
        </w:rPr>
        <w:t xml:space="preserve"> Journal of Sports Medicine, 9</w:t>
      </w:r>
      <w:r>
        <w:t>(2), 1–8. https://doi.org/10.1177/2325967120983350</w:t>
      </w:r>
    </w:p>
    <w:p w14:paraId="40384299" w14:textId="77777777" w:rsidR="00EF51D9" w:rsidRPr="00912B21" w:rsidRDefault="008A5BA6">
      <w:pPr>
        <w:spacing w:line="480" w:lineRule="auto"/>
        <w:ind w:left="720" w:hanging="720"/>
        <w:rPr>
          <w:lang w:val="fr-FR"/>
        </w:rPr>
      </w:pPr>
      <w:r>
        <w:t xml:space="preserve">Giordano, K. A., Jump, I., Lerch, B., &amp; Oliver, G. D. (2026). Contact depth affects most of the other hitting metrics we analyze. </w:t>
      </w:r>
      <w:r w:rsidRPr="00912B21">
        <w:rPr>
          <w:i/>
          <w:iCs/>
          <w:lang w:val="fr-FR"/>
        </w:rPr>
        <w:t>Sports, 14</w:t>
      </w:r>
      <w:r w:rsidRPr="00912B21">
        <w:rPr>
          <w:lang w:val="fr-FR"/>
        </w:rPr>
        <w:t>(8), Article 330. https://doi.org/10.3390/sports14080330</w:t>
      </w:r>
    </w:p>
    <w:p w14:paraId="4038429A" w14:textId="77777777" w:rsidR="00EF51D9" w:rsidRDefault="008A5BA6">
      <w:pPr>
        <w:spacing w:line="480" w:lineRule="auto"/>
        <w:ind w:left="720" w:hanging="720"/>
      </w:pPr>
      <w:r w:rsidRPr="00912B21">
        <w:rPr>
          <w:lang w:val="fr-FR"/>
        </w:rPr>
        <w:t xml:space="preserve">Jaiclin, M., &amp; McCollum, J. (2010). </w:t>
      </w:r>
      <w:r>
        <w:t xml:space="preserve">Home Run Derby curse: Fact or fiction? </w:t>
      </w:r>
      <w:r>
        <w:rPr>
          <w:i/>
          <w:iCs/>
        </w:rPr>
        <w:t>Baseball Research Journal, 39</w:t>
      </w:r>
      <w:r>
        <w:t>(2). https://sabr.org/journal/article/home-run-derby-curse-fact-or-fiction/</w:t>
      </w:r>
    </w:p>
    <w:p w14:paraId="4038429B" w14:textId="77777777" w:rsidR="00EF51D9" w:rsidRDefault="008A5BA6">
      <w:pPr>
        <w:spacing w:line="480" w:lineRule="auto"/>
        <w:ind w:left="720" w:hanging="720"/>
      </w:pPr>
      <w:r>
        <w:t xml:space="preserve">Jolliffe, I. T., &amp; Cadima, J. (2016). Principal component analysis: A review and recent developments. </w:t>
      </w:r>
      <w:r>
        <w:rPr>
          <w:i/>
          <w:iCs/>
        </w:rPr>
        <w:t>Philosophical Transactions of the Royal Society A, 374</w:t>
      </w:r>
      <w:r>
        <w:t>(2065), Article 20150202. https://doi.org/10.1098/rsta.2015.0202</w:t>
      </w:r>
    </w:p>
    <w:p w14:paraId="4038429C" w14:textId="77777777" w:rsidR="00EF51D9" w:rsidRDefault="008A5BA6">
      <w:pPr>
        <w:spacing w:line="480" w:lineRule="auto"/>
        <w:ind w:left="720" w:hanging="720"/>
      </w:pPr>
      <w:proofErr w:type="spellStart"/>
      <w:r>
        <w:lastRenderedPageBreak/>
        <w:t>Koseler</w:t>
      </w:r>
      <w:proofErr w:type="spellEnd"/>
      <w:r>
        <w:t xml:space="preserve">, K., &amp; Stephan, M. (2017). Machine learning applications in baseball: A systematic literature review. </w:t>
      </w:r>
      <w:r>
        <w:rPr>
          <w:i/>
          <w:iCs/>
        </w:rPr>
        <w:t>Applied Artificial Intelligence, 31</w:t>
      </w:r>
      <w:r>
        <w:t>(9–10), 745–763. https://doi.org/10.1080/08839514.2018.1442991</w:t>
      </w:r>
    </w:p>
    <w:p w14:paraId="4038429D" w14:textId="77777777" w:rsidR="00EF51D9" w:rsidRDefault="008A5BA6">
      <w:pPr>
        <w:spacing w:line="480" w:lineRule="auto"/>
        <w:ind w:left="720" w:hanging="720"/>
      </w:pPr>
      <w:r>
        <w:t xml:space="preserve">Nakashima, H., Horiuchi, G., Kimura, A., &amp; Sakurai, S. (2025). Acceptable range of timing </w:t>
      </w:r>
      <w:proofErr w:type="gramStart"/>
      <w:r>
        <w:t>error</w:t>
      </w:r>
      <w:proofErr w:type="gramEnd"/>
      <w:r>
        <w:t xml:space="preserve"> at bat-ball impact in baseball depends on the bat swing path. </w:t>
      </w:r>
      <w:r>
        <w:rPr>
          <w:i/>
          <w:iCs/>
        </w:rPr>
        <w:t>Frontiers in Sports and Active Living, 7</w:t>
      </w:r>
      <w:r>
        <w:t>, Article 1557145. https://doi.org/10.3389/fspor.2025.1557145</w:t>
      </w:r>
    </w:p>
    <w:p w14:paraId="4038429E" w14:textId="77777777" w:rsidR="00EF51D9" w:rsidRDefault="008A5BA6">
      <w:pPr>
        <w:spacing w:line="480" w:lineRule="auto"/>
        <w:ind w:left="720" w:hanging="720"/>
      </w:pPr>
      <w:r>
        <w:t xml:space="preserve">Sobol, G. L., Rosenberg, S. I., Baker, H. P., Dayton, S. R., Plantz, M. A., &amp; Tjong, V. K. (2024). National Basketball Association slam dunk contest participation does not lead to increased injury risk or adversely affect player performance. </w:t>
      </w:r>
      <w:r>
        <w:rPr>
          <w:i/>
          <w:iCs/>
        </w:rPr>
        <w:t xml:space="preserve">Current </w:t>
      </w:r>
      <w:proofErr w:type="spellStart"/>
      <w:r>
        <w:rPr>
          <w:i/>
          <w:iCs/>
        </w:rPr>
        <w:t>Orthopaedic</w:t>
      </w:r>
      <w:proofErr w:type="spellEnd"/>
      <w:r>
        <w:rPr>
          <w:i/>
          <w:iCs/>
        </w:rPr>
        <w:t xml:space="preserve"> Practice, 35</w:t>
      </w:r>
      <w:r>
        <w:t>(6), 255–259. https://doi.org/10.1097/BCO.0000000000001278</w:t>
      </w:r>
    </w:p>
    <w:p w14:paraId="4038429F" w14:textId="77777777" w:rsidR="00EF51D9" w:rsidRDefault="008A5BA6">
      <w:pPr>
        <w:spacing w:before="120" w:line="480" w:lineRule="auto"/>
      </w:pPr>
      <w:r>
        <w:t>Note: References follow APA (7th edition) format.</w:t>
      </w:r>
    </w:p>
    <w:sectPr w:rsidR="00EF51D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06466" w14:textId="77777777" w:rsidR="008A5BA6" w:rsidRDefault="008A5BA6">
      <w:r>
        <w:separator/>
      </w:r>
    </w:p>
  </w:endnote>
  <w:endnote w:type="continuationSeparator" w:id="0">
    <w:p w14:paraId="62E75F71" w14:textId="77777777" w:rsidR="008A5BA6" w:rsidRDefault="008A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45FF" w14:textId="77777777" w:rsidR="008A5BA6" w:rsidRDefault="008A5BA6">
      <w:r>
        <w:separator/>
      </w:r>
    </w:p>
  </w:footnote>
  <w:footnote w:type="continuationSeparator" w:id="0">
    <w:p w14:paraId="7C143615" w14:textId="77777777" w:rsidR="008A5BA6" w:rsidRDefault="008A5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42A0" w14:textId="400FAA62" w:rsidR="00EF51D9" w:rsidRDefault="008A5BA6">
    <w:pPr>
      <w:jc w:val="right"/>
    </w:pPr>
    <w:r>
      <w:fldChar w:fldCharType="begin"/>
    </w:r>
    <w:r>
      <w:instrText>PAGE</w:instrText>
    </w:r>
    <w:r>
      <w:fldChar w:fldCharType="separate"/>
    </w:r>
    <w:r w:rsidR="00912B2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91753"/>
    <w:multiLevelType w:val="hybridMultilevel"/>
    <w:tmpl w:val="79505FB8"/>
    <w:lvl w:ilvl="0" w:tplc="6E0A055A">
      <w:start w:val="1"/>
      <w:numFmt w:val="bullet"/>
      <w:lvlText w:val="●"/>
      <w:lvlJc w:val="left"/>
      <w:pPr>
        <w:ind w:left="720" w:hanging="360"/>
      </w:pPr>
    </w:lvl>
    <w:lvl w:ilvl="1" w:tplc="9EE64C1C">
      <w:start w:val="1"/>
      <w:numFmt w:val="bullet"/>
      <w:lvlText w:val="○"/>
      <w:lvlJc w:val="left"/>
      <w:pPr>
        <w:ind w:left="1440" w:hanging="360"/>
      </w:pPr>
    </w:lvl>
    <w:lvl w:ilvl="2" w:tplc="3376B6B0">
      <w:start w:val="1"/>
      <w:numFmt w:val="bullet"/>
      <w:lvlText w:val="■"/>
      <w:lvlJc w:val="left"/>
      <w:pPr>
        <w:ind w:left="2160" w:hanging="360"/>
      </w:pPr>
    </w:lvl>
    <w:lvl w:ilvl="3" w:tplc="043A8C40">
      <w:start w:val="1"/>
      <w:numFmt w:val="bullet"/>
      <w:lvlText w:val="●"/>
      <w:lvlJc w:val="left"/>
      <w:pPr>
        <w:ind w:left="2880" w:hanging="360"/>
      </w:pPr>
    </w:lvl>
    <w:lvl w:ilvl="4" w:tplc="E4401AF8">
      <w:start w:val="1"/>
      <w:numFmt w:val="bullet"/>
      <w:lvlText w:val="○"/>
      <w:lvlJc w:val="left"/>
      <w:pPr>
        <w:ind w:left="3600" w:hanging="360"/>
      </w:pPr>
    </w:lvl>
    <w:lvl w:ilvl="5" w:tplc="EA36DFD2">
      <w:start w:val="1"/>
      <w:numFmt w:val="bullet"/>
      <w:lvlText w:val="■"/>
      <w:lvlJc w:val="left"/>
      <w:pPr>
        <w:ind w:left="4320" w:hanging="360"/>
      </w:pPr>
    </w:lvl>
    <w:lvl w:ilvl="6" w:tplc="0A804028">
      <w:start w:val="1"/>
      <w:numFmt w:val="bullet"/>
      <w:lvlText w:val="●"/>
      <w:lvlJc w:val="left"/>
      <w:pPr>
        <w:ind w:left="5040" w:hanging="360"/>
      </w:pPr>
    </w:lvl>
    <w:lvl w:ilvl="7" w:tplc="A3E02FC6">
      <w:start w:val="1"/>
      <w:numFmt w:val="bullet"/>
      <w:lvlText w:val="●"/>
      <w:lvlJc w:val="left"/>
      <w:pPr>
        <w:ind w:left="5760" w:hanging="360"/>
      </w:pPr>
    </w:lvl>
    <w:lvl w:ilvl="8" w:tplc="1E16ADD0">
      <w:start w:val="1"/>
      <w:numFmt w:val="bullet"/>
      <w:lvlText w:val="●"/>
      <w:lvlJc w:val="left"/>
      <w:pPr>
        <w:ind w:left="6480" w:hanging="360"/>
      </w:pPr>
    </w:lvl>
  </w:abstractNum>
  <w:num w:numId="1" w16cid:durableId="83259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D9"/>
    <w:rsid w:val="008A5BA6"/>
    <w:rsid w:val="00912B21"/>
    <w:rsid w:val="00EF51D9"/>
    <w:rsid w:val="00F70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4272"/>
  <w15:docId w15:val="{B6D02A6E-EF9E-49B2-924D-29926B47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1484</Words>
  <Characters>8461</Characters>
  <Application>Microsoft Office Word</Application>
  <DocSecurity>0</DocSecurity>
  <Lines>70</Lines>
  <Paragraphs>19</Paragraphs>
  <ScaleCrop>false</ScaleCrop>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Rollo</cp:lastModifiedBy>
  <cp:revision>2</cp:revision>
  <dcterms:created xsi:type="dcterms:W3CDTF">2026-09-25T01:23:00Z</dcterms:created>
  <dcterms:modified xsi:type="dcterms:W3CDTF">2026-09-25T01:23:00Z</dcterms:modified>
</cp:coreProperties>
</file>