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GUÍA DE ENTREVISTA INFORMACIONAL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Responsable de base de datos — Gobierno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básicos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5"/>
        <w:gridCol w:w="6955"/>
        <w:tblGridChange w:id="0">
          <w:tblGrid>
            <w:gridCol w:w="2405"/>
            <w:gridCol w:w="6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 /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base de datos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 / 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Ganadería — Subastas de Bovinos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Entrevistador / 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Bryan Sánchez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Presencial</w:t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El propósito de esta entrevista es comprender a fondo la arquitectura, la calidad de los datos, la seguridad y los procesos de gestión del sistema Subastar, con el fin de identificar fortalezas, debilidades y oportunidades de mejora para optimizar el gobierno de datos en la empresa.</w:t>
      </w:r>
    </w:p>
    <w:p w:rsidR="00000000" w:rsidDel="00000000" w:rsidP="00000000" w:rsidRDefault="00000000" w:rsidRPr="00000000" w14:paraId="00000014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La información recolectada se utilizará exclusivamente para el análisis y diagnóstico del estado actual de los datos en Subastar. Los resultados servirán para proponer mejoras técnicas y estratégicas, garantizando en todo momento la confidencialidad y el manejo ético de los datos proporcionados.</w:t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ganadero narre con sus propias palabras sin interrumpir. Profundizar con preguntas de seguimiento como: ¿puede contarme más sobre eso? / ¿siempre es así? / ¿por qué cree que pasa eso?</w:t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Profesional técnico responsable de la administración, mantenimiento, seguridad y optimización del sistema de bases de datos de la empresa Subastar. Posee conocimientos clave sobre la arquitectura del sistema, las integraciones con plataformas externas (como AGROCALIDAD), la gestión de respaldos y los protocolos de seguridad. Actúa como el custodio principal de la integridad de la información y es el punto de referencia para cualquier modificación o mejora en la estructura de datos corporativa.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 principales</w:t>
      </w:r>
    </w:p>
    <w:tbl>
      <w:tblPr>
        <w:tblStyle w:val="Table2"/>
        <w:tblpPr w:leftFromText="180" w:rightFromText="180" w:topFromText="180" w:bottomFromText="180" w:vertAnchor="text" w:horzAnchor="text" w:tblpX="-15" w:tblpY="63"/>
        <w:tblW w:w="9585.0" w:type="dxa"/>
        <w:jc w:val="left"/>
        <w:tblLayout w:type="fixed"/>
        <w:tblLook w:val="0400"/>
      </w:tblPr>
      <w:tblGrid>
        <w:gridCol w:w="510"/>
        <w:gridCol w:w="4470"/>
        <w:gridCol w:w="1830"/>
        <w:gridCol w:w="2775"/>
        <w:tblGridChange w:id="0">
          <w:tblGrid>
            <w:gridCol w:w="510"/>
            <w:gridCol w:w="4470"/>
            <w:gridCol w:w="1830"/>
            <w:gridCol w:w="2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 es la arquitectura general del sistema Subastar? ¿Qué base de datos usa y dónde está alojado?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Mapear el entorno tecnológico actual, el motor de base de datos y la modalidad de alojamiento de la plataforma central.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otros sistemas o plataformas se integran actualmente con la base de datos de subastar?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el ecosistema de aplicaciones conectadas y el alcance del intercambio de datos internos y externos.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¿Las integraciones son automáticas (APIs, batch) o manuales (archivos planos, copiar y pegar)?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la eficiencia técnica del flujo de datos mediante la revisión del grado de automatización de las conexiones.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¿Existen reglas de validación definidas a nivel de base de datos (constraints, triggers) o solo en la capa de aplicación?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la presencia de restricciones y controles a nivel de base de datos para garantizar la consistencia técnica de la información. </w:t>
            </w:r>
          </w:p>
        </w:tc>
      </w:tr>
      <w:tr>
        <w:trPr>
          <w:cantSplit w:val="0"/>
          <w:trHeight w:val="169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¿Cuáles son los campos con mayor porcentaje de valores nulos o vacíos en la base de datos?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Calidad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Cuantificar las deficiencias de completitud técnica dentro de las tablas de datos para identificar debilidades en el almacenamiento. </w:t>
            </w:r>
          </w:p>
        </w:tc>
      </w:tr>
      <w:tr>
        <w:trPr>
          <w:cantSplit w:val="0"/>
          <w:trHeight w:val="169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 el tratamiento de los datos personales, ¿es posible identificar de forma única a los ganaderos? ¿Bajo qué criterio se los puede identificar?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Gobierno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de datos personales </w:t>
            </w:r>
          </w:p>
        </w:tc>
      </w:tr>
      <w:tr>
        <w:trPr>
          <w:cantSplit w:val="0"/>
          <w:trHeight w:val="169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¿Existen registros duplicados en las tablas principales (animales, compradores, transacciones)? ¿Hay un proceso para detectarlos?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Unicidad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la efectividad de las restricciones de unicidad sobre los identificadores clave del negocio.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registra logs de auditoría? ¿Se guarda quién modificó un registro, cuándo y qué cambió?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Comprobar la existencia de pistas de auditoría integradas que permitan rastrear la trazabilidad de modificaciones.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están configurados los perfiles de usuario y permisos? ¿Existe segregación de roles (solo lectura, edición, administración)?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y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Determinar la robustez del modelo de control de accesos y la aplicación del principio de mínimo privilegio en los roles del sistema.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se realizan los respaldos de la base de datos? ¿Con qué frecuencia y dónde se almacenan?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la política de copias de seguridad instalada para mitigar los riesgos de pérdida de información histórica y transaccional.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¿Se ha realizado alguna prueba de restauración del respaldo? ¿Cuándo fue la última vez?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la viabilidad real y efectividad de los planes de recuperación de datos ante contingencias catastróficas.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¿Existe documentación técnica del modelo de datos (diccionario de datos, diagrama ER)? ¿Está actualizada?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Constatar la disponibilidad y vigencia de los recursos de diseño técnico esenciales para la gobernanza del modelo de datos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 es el proceso para solicitar cambios en el sistema? ¿Quién autoriza modificaciones al esquema de datos?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cambios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el flujo formal de gobernanza y control aplicado sobre las alteraciones de la estructura o lógica de la base de datos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¿Los datos en tránsito o en reposo están cifrados? ¿Qué controles de seguridad se aplican a nivel de infraestructura?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los mecanismos de protección y cifrado implementados para resguardar la confidencialidad de la información crítica.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tiene funcionalidades para exportar datos en formatos estándar requeridos por AGROCALIDAD u otros organismos?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Asegurar la capacidad técnica de la plataforma para responder de forma estandarizada ante requerimientos de información 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rPr>
          <w:b w:val="1"/>
          <w:bCs w:val="1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Rule="auto"/>
        <w:ind w:left="720" w:hanging="360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Agradecimiento sugerido:</w:t>
      </w:r>
    </w:p>
    <w:p w:rsidR="00000000" w:rsidDel="00000000" w:rsidP="00000000" w:rsidRDefault="00000000" w:rsidRPr="00000000" w14:paraId="00000066">
      <w:pPr>
        <w:spacing w:after="120" w:before="60" w:lineRule="auto"/>
        <w:ind w:right="400"/>
        <w:jc w:val="both"/>
        <w:rPr/>
      </w:pPr>
      <w:bookmarkStart w:colFirst="0" w:colLast="0" w:name="_heading=h.lpj6acny75j5" w:id="0"/>
      <w:bookmarkEnd w:id="0"/>
      <w:r w:rsidDel="00000000" w:rsidR="00000000" w:rsidRPr="00000000">
        <w:rPr>
          <w:color w:val="000000"/>
          <w:rtl w:val="0"/>
        </w:rPr>
        <w:t xml:space="preserve">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color="2e75b6" w:space="1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2e75b6"/>
        <w:sz w:val="16"/>
        <w:szCs w:val="16"/>
        <w:rtl w:val="0"/>
      </w:rPr>
      <w:t xml:space="preserve">Confidencial – Uso interno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bottom w:color="2e75b6" w:space="1" w:sz="4" w:val="single"/>
      </w:pBdr>
      <w:tabs>
        <w:tab w:val="right" w:leader="none" w:pos="9026"/>
      </w:tabs>
      <w:spacing w:after="120" w:lineRule="auto"/>
      <w:rPr>
        <w:color w:val="145a32"/>
        <w:sz w:val="18"/>
        <w:szCs w:val="18"/>
      </w:rPr>
    </w:pPr>
    <w:r w:rsidDel="00000000" w:rsidR="00000000" w:rsidRPr="00000000">
      <w:rPr>
        <w:color w:val="2e75b6"/>
        <w:sz w:val="18"/>
        <w:szCs w:val="18"/>
        <w:rtl w:val="0"/>
      </w:rPr>
      <w:t xml:space="preserve">Guía de Entrevista – Gobernanza de Datos Sistema Subasta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5hf+D4QBWD0397aRwl7eby1xng==">CgMxLjAyDmgubHBqNmFjbnk3NWo1OAByITFlSTdaLXdDV2FWVUZpdDUyeHQ3M292S1YySnQyUVNELQ==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