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line="240"/>
      </w:pPr>
    </w:p>
    <w:p>
      <w:pPr>
        <w:spacing w:line="240"/>
        <w:jc w:val="center"/>
      </w:pPr>
      <w:r>
        <w:rPr>
          <w:rFonts w:ascii="Arial" w:cs="Arial" w:eastAsia="Arial" w:hAnsi="Arial"/>
          <w:b/>
          <w:bCs/>
          <w:color w:val="2e74b5"/>
          <w:sz w:val="56"/>
          <w:szCs w:val="56"/>
        </w:rPr>
        <w:t xml:space="preserve">INFORME DE GOBERNANZA DE DATOS</w:t>
      </w:r>
    </w:p>
    <w:p>
      <w:pPr>
        <w:spacing w:line="240"/>
        <w:jc w:val="center"/>
      </w:pPr>
      <w:r>
        <w:rPr>
          <w:rFonts w:ascii="Arial" w:cs="Arial" w:eastAsia="Arial" w:hAnsi="Arial"/>
          <w:i/>
          <w:iCs/>
          <w:color w:val="666666"/>
          <w:sz w:val="48"/>
          <w:szCs w:val="48"/>
        </w:rPr>
        <w:t xml:space="preserve">Subastar Ecuador S.A.S.</w:t>
      </w:r>
    </w:p>
    <w:p>
      <w:pPr>
        <w:spacing w:line="480"/>
      </w:pPr>
    </w:p>
    <w:p>
      <w:pPr>
        <w:spacing w:line="240"/>
        <w:jc w:val="center"/>
      </w:pPr>
      <w:r>
        <w:rPr>
          <w:rFonts w:ascii="Arial" w:cs="Arial" w:eastAsia="Arial" w:hAnsi="Arial"/>
          <w:b/>
          <w:bCs/>
          <w:sz w:val="24"/>
          <w:szCs w:val="24"/>
        </w:rPr>
        <w:t xml:space="preserve">Elaborado por:</w:t>
      </w:r>
    </w:p>
    <w:p>
      <w:pPr>
        <w:spacing w:line="240"/>
        <w:jc w:val="center"/>
      </w:pPr>
      <w:r>
        <w:rPr>
          <w:rFonts w:ascii="Arial" w:cs="Arial" w:eastAsia="Arial" w:hAnsi="Arial"/>
          <w:sz w:val="24"/>
          <w:szCs w:val="24"/>
        </w:rPr>
        <w:t xml:space="preserve">Rolando Casigña | Bryan Sánchez</w:t>
      </w:r>
    </w:p>
    <w:p>
      <w:pPr>
        <w:spacing w:line="480"/>
      </w:pPr>
    </w:p>
    <w:p>
      <w:pPr>
        <w:spacing w:line="240"/>
        <w:jc w:val="center"/>
      </w:pPr>
      <w:r>
        <w:rPr>
          <w:rFonts w:ascii="Arial" w:cs="Arial" w:eastAsia="Arial" w:hAnsi="Arial"/>
          <w:sz w:val="24"/>
          <w:szCs w:val="24"/>
        </w:rPr>
        <w:t xml:space="preserve">Julio 2026</w:t>
      </w:r>
    </w:p>
    <w:p>
      <w:pPr>
        <w:pageBreakBefore/>
      </w:pPr>
    </w:p>
    <w:p>
      <w:pPr>
        <w:pStyle w:val="Heading1"/>
        <w:pStyle w:val="Heading1"/>
      </w:pPr>
      <w:r>
        <w:t xml:space="preserve">Índice</w:t>
      </w:r>
    </w:p>
    <w:p>
      <w:pPr>
        <w:spacing w:line="240"/>
      </w:pPr>
      <w:r>
        <w:t xml:space="preserve">1. Introducción</w:t>
      </w:r>
    </w:p>
    <w:p>
      <w:pPr>
        <w:spacing w:line="240"/>
      </w:pPr>
      <w:r>
        <w:t xml:space="preserve">2. Objetivo del informe</w:t>
      </w:r>
    </w:p>
    <w:p>
      <w:pPr>
        <w:spacing w:line="240"/>
      </w:pPr>
      <w:r>
        <w:t xml:space="preserve">3. Alcance de la evaluación</w:t>
      </w:r>
    </w:p>
    <w:p>
      <w:pPr>
        <w:spacing w:line="240"/>
      </w:pPr>
      <w:r>
        <w:t xml:space="preserve">4. Resumen ejecutivo</w:t>
      </w:r>
    </w:p>
    <w:p>
      <w:pPr>
        <w:spacing w:line="240"/>
      </w:pPr>
      <w:r>
        <w:t xml:space="preserve">5. Análisis detallado por componente</w:t>
      </w:r>
    </w:p>
    <w:p>
      <w:pPr>
        <w:spacing w:line="240"/>
      </w:pPr>
      <w:r>
        <w:t xml:space="preserve">6. Diagrama de madurez</w:t>
      </w:r>
    </w:p>
    <w:p>
      <w:pPr>
        <w:spacing w:line="240"/>
      </w:pPr>
      <w:r>
        <w:t xml:space="preserve">7. Conclusiones y hallazgos clave</w:t>
      </w:r>
    </w:p>
    <w:p>
      <w:pPr>
        <w:spacing w:line="240"/>
      </w:pPr>
      <w:r>
        <w:t xml:space="preserve">8. Recomendaciones</w:t>
      </w:r>
    </w:p>
    <w:p>
      <w:pPr>
        <w:spacing w:line="240"/>
      </w:pPr>
      <w:r>
        <w:t xml:space="preserve">9. Anexos</w:t>
      </w:r>
    </w:p>
    <w:p>
      <w:pPr>
        <w:pageBreakBefore/>
      </w:pPr>
    </w:p>
    <w:p>
      <w:pPr>
        <w:pStyle w:val="Heading1"/>
        <w:pStyle w:val="Heading1"/>
      </w:pPr>
      <w:r>
        <w:t xml:space="preserve">1. Introducción</w:t>
      </w:r>
    </w:p>
    <w:p>
      <w:pPr>
        <w:spacing w:after="240" w:line="240"/>
      </w:pPr>
      <w:r>
        <w:t xml:space="preserve">El presente informe documenta la evaluación de madurez en gestión de datos de Subastar Ecuador S.A.S., realizada utilizando el modelo de evaluación de capacidades DCAM (Data Management Capability Assessment Model) del EDM Council.</w:t>
      </w:r>
    </w:p>
    <w:p>
      <w:pPr>
        <w:spacing w:after="240" w:line="240"/>
      </w:pPr>
      <w:r>
        <w:t xml:space="preserve">Subastar Ecuador opera como una sucursal de la casa matriz ubicada en Colombia, comercializando bovinos mediante un sistema centralizado de subastas. La operación ecuatoriana depende de infraestructura tecnológica, políticas y gobernanza desarrolladas desde la casa matriz, pero enfrenta desafíos locales específicos en materia de gestión de datos.</w:t>
      </w:r>
    </w:p>
    <w:p>
      <w:pPr>
        <w:spacing w:after="240" w:line="240"/>
      </w:pPr>
      <w:r>
        <w:t xml:space="preserve">La evaluación incluyó entrevistas con personal operativo, comercial, de facturación y de gerencia, el análisis de sistemas (Menú SIS, módulos de pesaje y facturación), y la revisión de procesos de toma de decisiones con base en datos.</w:t>
      </w:r>
    </w:p>
    <w:p>
      <w:pPr>
        <w:pStyle w:val="Heading1"/>
        <w:pStyle w:val="Heading1"/>
      </w:pPr>
      <w:r>
        <w:t xml:space="preserve">2. Objetivo del informe</w:t>
      </w:r>
    </w:p>
    <w:p>
      <w:pPr>
        <w:spacing w:after="240" w:line="240"/>
      </w:pPr>
      <w:r>
        <w:t xml:space="preserve">Proporcionar una evaluación integral de la madurez de gestión de datos en Subastar Ecuador S.A.S. a través de ocho componentes del modelo DCAM, identificando fortalezas, brechas, riesgos y oportunidades de mejora.</w:t>
      </w:r>
    </w:p>
    <w:p>
      <w:pPr>
        <w:spacing w:after="240" w:line="240"/>
      </w:pPr>
      <w:r>
        <w:t xml:space="preserve">Este análisis busca facilitar la toma de decisiones estratégicas sobre inversión en gobernanza de datos, definición de políticas locales y alineación con la estrategia global de la casa matriz.</w:t>
      </w:r>
    </w:p>
    <w:p>
      <w:pPr>
        <w:pStyle w:val="Heading1"/>
        <w:pStyle w:val="Heading1"/>
      </w:pPr>
      <w:r>
        <w:t xml:space="preserve">3. Alcance de la evaluación</w:t>
      </w:r>
    </w:p>
    <w:p>
      <w:pPr>
        <w:spacing w:after="240" w:line="240"/>
      </w:pPr>
      <w:r>
        <w:t xml:space="preserve">La evaluación cubre los siguientes ocho componentes del modelo DCAM:</w:t>
      </w:r>
    </w:p>
    <w:p>
      <w:pPr>
        <w:pStyle w:val="ListParagraph"/>
        <w:numPr>
          <w:ilvl w:val="0"/>
          <w:numId w:val="1"/>
        </w:numPr>
        <w:spacing w:after="120" w:line="240"/>
      </w:pPr>
      <w:r>
        <w:t xml:space="preserve">C1: Estrategia de gestión de datos</w:t>
      </w:r>
    </w:p>
    <w:p>
      <w:pPr>
        <w:pStyle w:val="ListParagraph"/>
        <w:numPr>
          <w:ilvl w:val="0"/>
          <w:numId w:val="1"/>
        </w:numPr>
        <w:spacing w:after="120" w:line="240"/>
      </w:pPr>
      <w:r>
        <w:t xml:space="preserve">C2: Programa y financiamiento</w:t>
      </w:r>
    </w:p>
    <w:p>
      <w:pPr>
        <w:pStyle w:val="ListParagraph"/>
        <w:numPr>
          <w:ilvl w:val="0"/>
          <w:numId w:val="1"/>
        </w:numPr>
        <w:spacing w:after="120" w:line="240"/>
      </w:pPr>
      <w:r>
        <w:t xml:space="preserve">C3: Gobernanza de datos</w:t>
      </w:r>
    </w:p>
    <w:p>
      <w:pPr>
        <w:pStyle w:val="ListParagraph"/>
        <w:numPr>
          <w:ilvl w:val="0"/>
          <w:numId w:val="1"/>
        </w:numPr>
        <w:spacing w:after="120" w:line="240"/>
      </w:pPr>
      <w:r>
        <w:t xml:space="preserve">C4: Arquitectura de datos</w:t>
      </w:r>
    </w:p>
    <w:p>
      <w:pPr>
        <w:pStyle w:val="ListParagraph"/>
        <w:numPr>
          <w:ilvl w:val="0"/>
          <w:numId w:val="1"/>
        </w:numPr>
        <w:spacing w:after="120" w:line="240"/>
      </w:pPr>
      <w:r>
        <w:t xml:space="preserve">C5: Calidad de datos</w:t>
      </w:r>
    </w:p>
    <w:p>
      <w:pPr>
        <w:pStyle w:val="ListParagraph"/>
        <w:numPr>
          <w:ilvl w:val="0"/>
          <w:numId w:val="1"/>
        </w:numPr>
        <w:spacing w:after="120" w:line="240"/>
      </w:pPr>
      <w:r>
        <w:t xml:space="preserve">C6: Control y riesgo de datos</w:t>
      </w:r>
    </w:p>
    <w:p>
      <w:pPr>
        <w:pStyle w:val="ListParagraph"/>
        <w:numPr>
          <w:ilvl w:val="0"/>
          <w:numId w:val="1"/>
        </w:numPr>
        <w:spacing w:after="120" w:line="240"/>
      </w:pPr>
      <w:r>
        <w:t xml:space="preserve">C7: Metadatos e integración</w:t>
      </w:r>
    </w:p>
    <w:p>
      <w:pPr>
        <w:pStyle w:val="ListParagraph"/>
        <w:numPr>
          <w:ilvl w:val="0"/>
          <w:numId w:val="1"/>
        </w:numPr>
        <w:spacing w:after="120" w:line="240"/>
      </w:pPr>
      <w:r>
        <w:t xml:space="preserve">C8: Analítica, reportes y acceso</w:t>
      </w:r>
    </w:p>
    <w:p>
      <w:pPr>
        <w:spacing w:after="240" w:line="240"/>
      </w:pPr>
      <w:r>
        <w:t xml:space="preserve">Cada componente se evaluó utilizando la escala de madurez de 6 niveles (No iniciado, Conceptual, En desarrollo, Definido, Logrado, Mejorado).</w:t>
      </w:r>
    </w:p>
    <w:p>
      <w:pPr>
        <w:pStyle w:val="Heading1"/>
        <w:pStyle w:val="Heading1"/>
      </w:pPr>
      <w:r>
        <w:t xml:space="preserve">4. Resumen ejecutivo</w:t>
      </w:r>
    </w:p>
    <w:p>
      <w:pPr>
        <w:spacing w:after="240" w:line="240"/>
        <w:jc w:val="left"/>
      </w:pPr>
      <w:r>
        <w:rPr>
          <w:rFonts w:ascii="Arial" w:cs="Arial" w:eastAsia="Arial" w:hAnsi="Arial"/>
          <w:b/>
          <w:bCs/>
          <w:sz w:val="24"/>
          <w:szCs w:val="24"/>
        </w:rPr>
        <w:t xml:space="preserve">Puntaje general de madurez: 2.2 (Conceptual)</w:t>
      </w:r>
    </w:p>
    <w:p>
      <w:pPr>
        <w:spacing w:after="240" w:line="240"/>
      </w:pPr>
      <w:r>
        <w:t xml:space="preserve">Subastar Ecuador presenta un nivel de madurez Conceptual en gestión de datos (2.2 en una escala 1-6). Si bien cuenta con sistemas operativos robustos y un personal altamente consciente de la importancia de la calidad de datos, carece de una estrategia formalizada, estructura de gobernanza local y programas sistemáticos de mejora.</w:t>
      </w:r>
    </w:p>
    <w:p>
      <w:pPr>
        <w:spacing w:after="120" w:line="240"/>
        <w:jc w:val="left"/>
      </w:pPr>
      <w:r>
        <w:rPr>
          <w:rFonts w:ascii="Arial" w:cs="Arial" w:eastAsia="Arial" w:hAnsi="Arial"/>
          <w:b/>
          <w:bCs/>
          <w:color w:val="2e74b5"/>
          <w:sz w:val="22"/>
          <w:szCs w:val="22"/>
        </w:rPr>
        <w:t xml:space="preserve">Fortalezas principales:</w:t>
      </w:r>
    </w:p>
    <w:p>
      <w:pPr>
        <w:pStyle w:val="ListParagraph"/>
        <w:numPr>
          <w:ilvl w:val="0"/>
          <w:numId w:val="1"/>
        </w:numPr>
        <w:spacing w:after="120" w:line="240"/>
      </w:pPr>
      <w:r>
        <w:t xml:space="preserve">Métricas de valor del dato bien desarrolladas (Puntaje C1: 4.3)</w:t>
      </w:r>
    </w:p>
    <w:p>
      <w:pPr>
        <w:pStyle w:val="ListParagraph"/>
        <w:numPr>
          <w:ilvl w:val="0"/>
          <w:numId w:val="1"/>
        </w:numPr>
        <w:spacing w:after="120" w:line="240"/>
      </w:pPr>
      <w:r>
        <w:t xml:space="preserve">Visibilidad ejecutiva de indicadores comerciales clave</w:t>
      </w:r>
    </w:p>
    <w:p>
      <w:pPr>
        <w:pStyle w:val="ListParagraph"/>
        <w:numPr>
          <w:ilvl w:val="0"/>
          <w:numId w:val="1"/>
        </w:numPr>
        <w:spacing w:after="120" w:line="240"/>
      </w:pPr>
      <w:r>
        <w:t xml:space="preserve">Sistema centralizado (Menú SIS) con validaciones activas de calidad</w:t>
      </w:r>
    </w:p>
    <w:p>
      <w:pPr>
        <w:pStyle w:val="ListParagraph"/>
        <w:numPr>
          <w:ilvl w:val="0"/>
          <w:numId w:val="1"/>
        </w:numPr>
        <w:spacing w:after="120" w:line="240"/>
      </w:pPr>
      <w:r>
        <w:t xml:space="preserve">Acceso diferenciado por roles bien implementado</w:t>
      </w:r>
    </w:p>
    <w:p>
      <w:pPr>
        <w:pStyle w:val="ListParagraph"/>
        <w:numPr>
          <w:ilvl w:val="0"/>
          <w:numId w:val="1"/>
        </w:numPr>
        <w:spacing w:after="120" w:line="240"/>
      </w:pPr>
      <w:r>
        <w:t xml:space="preserve">Personal altamente consciente de riesgos de error en datos críticos</w:t>
      </w:r>
    </w:p>
    <w:p>
      <w:pPr>
        <w:spacing w:after="120" w:line="240"/>
        <w:jc w:val="left"/>
      </w:pPr>
      <w:r>
        <w:rPr>
          <w:rFonts w:ascii="Arial" w:cs="Arial" w:eastAsia="Arial" w:hAnsi="Arial"/>
          <w:b/>
          <w:bCs/>
          <w:color w:val="2e74b5"/>
          <w:sz w:val="22"/>
          <w:szCs w:val="22"/>
        </w:rPr>
        <w:t xml:space="preserve">Brechas críticas:</w:t>
      </w:r>
    </w:p>
    <w:p>
      <w:pPr>
        <w:pStyle w:val="ListParagraph"/>
        <w:numPr>
          <w:ilvl w:val="0"/>
          <w:numId w:val="1"/>
        </w:numPr>
        <w:spacing w:after="120" w:line="240"/>
      </w:pPr>
      <w:r>
        <w:t xml:space="preserve">Ausencia de caso de negocio y presupuesto local para gobernanza (C2: 2.3)</w:t>
      </w:r>
    </w:p>
    <w:p>
      <w:pPr>
        <w:pStyle w:val="ListParagraph"/>
        <w:numPr>
          <w:ilvl w:val="0"/>
          <w:numId w:val="1"/>
        </w:numPr>
        <w:spacing w:after="120" w:line="240"/>
      </w:pPr>
      <w:r>
        <w:t xml:space="preserve">No existe comité de gobernanza ni toma de decisiones formalizada a nivel local (C3: 1.8)</w:t>
      </w:r>
    </w:p>
    <w:p>
      <w:pPr>
        <w:pStyle w:val="ListParagraph"/>
        <w:numPr>
          <w:ilvl w:val="0"/>
          <w:numId w:val="1"/>
        </w:numPr>
        <w:spacing w:after="120" w:line="240"/>
      </w:pPr>
      <w:r>
        <w:t xml:space="preserve">Falta de documentación de metadatos y lineaje de datos (C7: 1.0)</w:t>
      </w:r>
    </w:p>
    <w:p>
      <w:pPr>
        <w:pStyle w:val="ListParagraph"/>
        <w:numPr>
          <w:ilvl w:val="0"/>
          <w:numId w:val="1"/>
        </w:numPr>
        <w:spacing w:after="120" w:line="240"/>
      </w:pPr>
      <w:r>
        <w:t xml:space="preserve">Sin programa de calidad de datos formal ni monitoreo periódico (C5: 2.0)</w:t>
      </w:r>
    </w:p>
    <w:p>
      <w:pPr>
        <w:pStyle w:val="ListParagraph"/>
        <w:numPr>
          <w:ilvl w:val="0"/>
          <w:numId w:val="1"/>
        </w:numPr>
        <w:spacing w:after="120" w:line="240"/>
      </w:pPr>
      <w:r>
        <w:t xml:space="preserve">Controles de seguridad y cumplimiento normativo insuficientes (C6: 1.3)</w:t>
      </w:r>
    </w:p>
    <w:p>
      <w:pPr>
        <w:spacing w:after="240" w:line="240"/>
        <w:jc w:val="left"/>
      </w:pPr>
      <w:r>
        <w:rPr>
          <w:rFonts w:ascii="Arial" w:cs="Arial" w:eastAsia="Arial" w:hAnsi="Arial"/>
          <w:b/>
          <w:bCs/>
          <w:color w:val="D32F2F"/>
          <w:sz w:val="22"/>
          <w:szCs w:val="22"/>
        </w:rPr>
        <w:t xml:space="preserve">Riesgo principal: </w:t>
      </w:r>
      <w:r>
        <w:rPr>
          <w:rFonts w:ascii="Arial" w:cs="Arial" w:eastAsia="Arial" w:hAnsi="Arial"/>
          <w:sz w:val="22"/>
          <w:szCs w:val="22"/>
        </w:rPr>
        <w:t xml:space="preserve">El riesgo principal es que la madurez de facto (lo que funciona operativamente) sea mayor que la madurez documentada (políticas formales). Esto crea vulnerabilidad ante cambios de personal, auditorías externas o escala de operaciones.</w:t>
      </w:r>
    </w:p>
    <w:p>
      <w:pPr>
        <w:pageBreakBefore/>
      </w:pPr>
    </w:p>
    <w:p>
      <w:pPr>
        <w:pStyle w:val="Heading1"/>
        <w:pStyle w:val="Heading1"/>
      </w:pPr>
      <w:r>
        <w:t xml:space="preserve">5. Análisis detallado por componente</w:t>
      </w:r>
    </w:p>
    <w:p>
      <w:pPr>
        <w:pStyle w:val="Heading2"/>
        <w:pStyle w:val="Heading2"/>
      </w:pPr>
      <w:r>
        <w:t xml:space="preserve">5.1 Componente 1 – Estrategia de gestión de datos (Puntaje: 4.3 – Definido)</w:t>
      </w:r>
    </w:p>
    <w:p>
      <w:pPr>
        <w:pStyle w:val="Heading3"/>
        <w:pStyle w:val="Heading3"/>
      </w:pPr>
      <w:r>
        <w:t xml:space="preserve">Fortalezas:</w:t>
      </w:r>
    </w:p>
    <w:p>
      <w:pPr>
        <w:pStyle w:val="ListParagraph"/>
        <w:numPr>
          <w:ilvl w:val="0"/>
          <w:numId w:val="1"/>
        </w:numPr>
        <w:spacing w:after="120" w:line="240"/>
      </w:pPr>
      <w:r>
        <w:rPr>
          <w:rFonts w:ascii="Arial" w:cs="Arial" w:eastAsia="Arial" w:hAnsi="Arial"/>
          <w:b/>
          <w:bCs/>
          <w:sz w:val="22"/>
          <w:szCs w:val="22"/>
        </w:rPr>
        <w:t xml:space="preserve">Visión y objetivos de datos (4): </w:t>
      </w:r>
      <w:r>
        <w:rPr>
          <w:rFonts w:ascii="Arial" w:cs="Arial" w:eastAsia="Arial" w:hAnsi="Arial"/>
          <w:sz w:val="22"/>
          <w:szCs w:val="22"/>
        </w:rPr>
        <w:t xml:space="preserve">Existen políticas y procedimientos documentados ("normativa de planta de la empresa") sobre cómo registrar, actualizar o eliminar datos. Los objetivos de datos están totalmente alineados con la estrategia del negocio ganadero: la recolección de datos operativos (registro de clientes, pre-ingreso de volúmenes y lotes) tiene el objetivo directo de hacer "pre-mercadeo" para atraer a los compradores adecuados según la categoría de ganado. Los empleados conocen sus responsabilidades de registro y los límites de sus permisos; el sistema tiene accesos diferenciados por roles (operativo, comercial, facturación).</w:t>
      </w:r>
    </w:p>
    <w:p>
      <w:pPr>
        <w:pStyle w:val="ListParagraph"/>
        <w:numPr>
          <w:ilvl w:val="0"/>
          <w:numId w:val="1"/>
        </w:numPr>
        <w:spacing w:after="120" w:line="240"/>
      </w:pPr>
      <w:r>
        <w:rPr>
          <w:rFonts w:ascii="Arial" w:cs="Arial" w:eastAsia="Arial" w:hAnsi="Arial"/>
          <w:b/>
          <w:bCs/>
          <w:sz w:val="22"/>
          <w:szCs w:val="22"/>
        </w:rPr>
        <w:t xml:space="preserve">Métricas de valor del dato (5): </w:t>
      </w:r>
      <w:r>
        <w:rPr>
          <w:rFonts w:ascii="Arial" w:cs="Arial" w:eastAsia="Arial" w:hAnsi="Arial"/>
          <w:sz w:val="22"/>
          <w:szCs w:val="22"/>
        </w:rPr>
        <w:t xml:space="preserve">Se cuenta con un tablero de informes en el sistema y un archivo de Excel detallado con indicadores comerciales que incluyen: número de vacas ingresadas, cantidad de compradores, porcentajes de venta y procedencia. El Gerente evalúa estos datos "semana a semana" para observar autosubastas, proveedores y comercialización. La calidad y exactitud del dato es tratada como algo crítico: el error más grave que puede existir es que el número de lote físico pintado en el animal no coincida con el registrado en el sistema, ya que esto afecta directamente quién cobra y quién paga.</w:t>
      </w:r>
    </w:p>
    <w:p>
      <w:pPr>
        <w:pStyle w:val="Heading3"/>
        <w:pStyle w:val="Heading3"/>
      </w:pPr>
      <w:r>
        <w:t xml:space="preserve">Brechas:</w:t>
      </w:r>
    </w:p>
    <w:p>
      <w:pPr>
        <w:pStyle w:val="ListParagraph"/>
        <w:numPr>
          <w:ilvl w:val="0"/>
          <w:numId w:val="1"/>
        </w:numPr>
        <w:spacing w:after="120" w:line="240"/>
      </w:pPr>
      <w:r>
        <w:rPr>
          <w:rFonts w:ascii="Arial" w:cs="Arial" w:eastAsia="Arial" w:hAnsi="Arial"/>
          <w:b/>
          <w:bCs/>
          <w:sz w:val="22"/>
          <w:szCs w:val="22"/>
        </w:rPr>
        <w:t xml:space="preserve">Hoja de ruta del programa (4): </w:t>
      </w:r>
      <w:r>
        <w:rPr>
          <w:rFonts w:ascii="Arial" w:cs="Arial" w:eastAsia="Arial" w:hAnsi="Arial"/>
          <w:sz w:val="22"/>
          <w:szCs w:val="22"/>
        </w:rPr>
        <w:t xml:space="preserve">No se evidencia la existencia de una hoja de ruta de datos local formalizada con fechas o presupuestos definidos. El sistema ("Menú SIS") y su desarrollo pertenecen a la sede en Colombia, por lo que cualquier hoja de ruta tecnológica se rige desde la casa matriz y no como un plan de acción local independiente.</w:t>
      </w:r>
    </w:p>
    <w:p>
      <w:pPr>
        <w:pStyle w:val="Heading3"/>
        <w:pStyle w:val="Heading3"/>
      </w:pPr>
      <w:r>
        <w:t xml:space="preserve">Acción de mejora recomendada:</w:t>
      </w:r>
    </w:p>
    <w:p>
      <w:pPr>
        <w:spacing w:after="240" w:line="240"/>
      </w:pPr>
      <w:r>
        <w:t xml:space="preserve">Formalizar una hoja de ruta de datos local que complemente la estrategia global, definiendo iniciativas priorizadas con plazos y responsables locales.</w:t>
      </w:r>
    </w:p>
    <w:p>
      <w:pPr>
        <w:pStyle w:val="Heading2"/>
        <w:pStyle w:val="Heading2"/>
      </w:pPr>
      <w:r>
        <w:t xml:space="preserve">5.2 Componente 2 – Programa y financiamiento (Puntaje: 2.3 – Conceptual)</w:t>
      </w:r>
    </w:p>
    <w:p>
      <w:pPr>
        <w:pStyle w:val="Heading3"/>
        <w:pStyle w:val="Heading3"/>
      </w:pPr>
      <w:r>
        <w:t xml:space="preserve">Fortalezas:</w:t>
      </w:r>
    </w:p>
    <w:p>
      <w:pPr>
        <w:pStyle w:val="ListParagraph"/>
        <w:numPr>
          <w:ilvl w:val="0"/>
          <w:numId w:val="1"/>
        </w:numPr>
        <w:spacing w:after="120" w:line="240"/>
      </w:pPr>
      <w:r>
        <w:rPr>
          <w:rFonts w:ascii="Arial" w:cs="Arial" w:eastAsia="Arial" w:hAnsi="Arial"/>
          <w:b/>
          <w:bCs/>
          <w:sz w:val="22"/>
          <w:szCs w:val="22"/>
        </w:rPr>
        <w:t xml:space="preserve">Estructura del programa (5): </w:t>
      </w:r>
      <w:r>
        <w:rPr>
          <w:rFonts w:ascii="Arial" w:cs="Arial" w:eastAsia="Arial" w:hAnsi="Arial"/>
          <w:sz w:val="22"/>
          <w:szCs w:val="22"/>
        </w:rPr>
        <w:t xml:space="preserve">Las auditorías y el control estricto del sistema informático recaen en el departamento de Informática ubicado en Colombia. Las responsabilidades operativas de ingreso y cuidado de datos están claramente definidas en los cargos: el Director Operativo es el responsable formal de garantizar que los datos estén correctos y actualizados. El acceso a la información está estrictamente segmentado por roles; por ejemplo, la analista de facturación tiene acceso exclusivo a ese módulo, sin que otras áreas puedan modificarlo.</w:t>
      </w:r>
    </w:p>
    <w:p>
      <w:pPr>
        <w:pStyle w:val="Heading3"/>
        <w:pStyle w:val="Heading3"/>
      </w:pPr>
      <w:r>
        <w:t xml:space="preserve">Brechas:</w:t>
      </w:r>
    </w:p>
    <w:p>
      <w:pPr>
        <w:pStyle w:val="ListParagraph"/>
        <w:numPr>
          <w:ilvl w:val="0"/>
          <w:numId w:val="1"/>
        </w:numPr>
        <w:spacing w:after="120" w:line="240"/>
      </w:pPr>
      <w:r>
        <w:rPr>
          <w:rFonts w:ascii="Arial" w:cs="Arial" w:eastAsia="Arial" w:hAnsi="Arial"/>
          <w:b/>
          <w:bCs/>
          <w:sz w:val="22"/>
          <w:szCs w:val="22"/>
        </w:rPr>
        <w:t xml:space="preserve">Caso de negocio del programa (1): </w:t>
      </w:r>
      <w:r>
        <w:rPr>
          <w:rFonts w:ascii="Arial" w:cs="Arial" w:eastAsia="Arial" w:hAnsi="Arial"/>
          <w:sz w:val="22"/>
          <w:szCs w:val="22"/>
        </w:rPr>
        <w:t xml:space="preserve">No existe evidencia de que Subastar Ecuador haya elaborado un caso de negocio enfocado en la gestión de datos. El Gerente de Gobernanza aclaró que todo el manejo de informática, auditorías y gobernanza profunda se maneja directamente desde la casa matriz en Colombia. A nivel local no están buscando mejoras relacionadas con la "interferencia de datos".</w:t>
      </w:r>
    </w:p>
    <w:p>
      <w:pPr>
        <w:pStyle w:val="ListParagraph"/>
        <w:numPr>
          <w:ilvl w:val="0"/>
          <w:numId w:val="1"/>
        </w:numPr>
        <w:spacing w:after="120" w:line="240"/>
      </w:pPr>
      <w:r>
        <w:rPr>
          <w:rFonts w:ascii="Arial" w:cs="Arial" w:eastAsia="Arial" w:hAnsi="Arial"/>
          <w:b/>
          <w:bCs/>
          <w:sz w:val="22"/>
          <w:szCs w:val="22"/>
        </w:rPr>
        <w:t xml:space="preserve">Financiamiento sostenible (1): </w:t>
      </w:r>
      <w:r>
        <w:rPr>
          <w:rFonts w:ascii="Arial" w:cs="Arial" w:eastAsia="Arial" w:hAnsi="Arial"/>
          <w:sz w:val="22"/>
          <w:szCs w:val="22"/>
        </w:rPr>
        <w:t xml:space="preserve">No existe evidencia de un presupuesto asignado, ni recurrente ni puntual, para la gestión de datos en la sucursal de Ecuador. Subastar Ecuador funciona operativamente como un ente comercial y logístico, adoptando el modelo de negocio y los sistemas creados e implementados por Colombia. No se menciona financiamiento local destinado a contratar personal especializado en gobernanza de datos o a capacitar al personal en este ámbito.</w:t>
      </w:r>
    </w:p>
    <w:p>
      <w:pPr>
        <w:pStyle w:val="Heading3"/>
        <w:pStyle w:val="Heading3"/>
      </w:pPr>
      <w:r>
        <w:t xml:space="preserve">Acción de mejora recomendada:</w:t>
      </w:r>
    </w:p>
    <w:p>
      <w:pPr>
        <w:spacing w:after="240" w:line="240"/>
      </w:pPr>
      <w:r>
        <w:t xml:space="preserve">Elaborar un caso de negocio local que justifique la inversión en gestión de datos, identificando los riesgos de no gestionar adecuadamente los datos y cuantificando los beneficios esperados. Gestionar un presupuesto recurrente para actividades de gobernanza, herramientas y capacitación.</w:t>
      </w:r>
    </w:p>
    <w:p>
      <w:pPr>
        <w:pStyle w:val="Heading2"/>
        <w:pStyle w:val="Heading2"/>
      </w:pPr>
      <w:r>
        <w:t xml:space="preserve">5.3 Componente 3 – Gobernanza de datos (Puntaje: 1.8 – Conceptual)</w:t>
      </w:r>
    </w:p>
    <w:p>
      <w:pPr>
        <w:pStyle w:val="Heading3"/>
        <w:pStyle w:val="Heading3"/>
      </w:pPr>
      <w:r>
        <w:t xml:space="preserve">Fortalezas:</w:t>
      </w:r>
    </w:p>
    <w:p>
      <w:pPr>
        <w:pStyle w:val="ListParagraph"/>
        <w:numPr>
          <w:ilvl w:val="0"/>
          <w:numId w:val="1"/>
        </w:numPr>
        <w:spacing w:after="120" w:line="240"/>
      </w:pPr>
      <w:r>
        <w:rPr>
          <w:rFonts w:ascii="Arial" w:cs="Arial" w:eastAsia="Arial" w:hAnsi="Arial"/>
          <w:b/>
          <w:bCs/>
          <w:sz w:val="22"/>
          <w:szCs w:val="22"/>
        </w:rPr>
        <w:t xml:space="preserve">Políticas y estándares (2): </w:t>
      </w:r>
      <w:r>
        <w:rPr>
          <w:rFonts w:ascii="Arial" w:cs="Arial" w:eastAsia="Arial" w:hAnsi="Arial"/>
          <w:sz w:val="22"/>
          <w:szCs w:val="22"/>
        </w:rPr>
        <w:t xml:space="preserve">Existe una "normativa de planta de la empresa" documentada que dicta cómo se debe registrar, actualizar o eliminar la información. El acceso a los datos está estrictamente controlado por políticas del sistema: no todos tienen los mismos permisos, sino que el acceso a cada módulo depende del rango y tipo de puesto del usuario.</w:t>
      </w:r>
    </w:p>
    <w:p>
      <w:pPr>
        <w:pStyle w:val="ListParagraph"/>
        <w:numPr>
          <w:ilvl w:val="0"/>
          <w:numId w:val="1"/>
        </w:numPr>
        <w:spacing w:after="120" w:line="240"/>
      </w:pPr>
      <w:r>
        <w:rPr>
          <w:rFonts w:ascii="Arial" w:cs="Arial" w:eastAsia="Arial" w:hAnsi="Arial"/>
          <w:b/>
          <w:bCs/>
          <w:sz w:val="22"/>
          <w:szCs w:val="22"/>
        </w:rPr>
        <w:t xml:space="preserve">Roles de gobernanza (2): </w:t>
      </w:r>
      <w:r>
        <w:rPr>
          <w:rFonts w:ascii="Arial" w:cs="Arial" w:eastAsia="Arial" w:hAnsi="Arial"/>
          <w:sz w:val="22"/>
          <w:szCs w:val="22"/>
        </w:rPr>
        <w:t xml:space="preserve">Si bien no existen títulos formales de "Data Owners", en la práctica operativa están definidos: el Módulo de pesaje (datos de animales y lotes) es propiedad exclusiva del Director Operativo, el registro de clientes recae en el Área Comercial y Operativa, y las transacciones/liquidaciones son de propiedad exclusiva del Área de Facturación. El Gerente designó formalmente al Director Operativo como el responsable de garantizar que los datos estén correctos y actualizados, actuando como el "Data Steward" principal en campo.</w:t>
      </w:r>
    </w:p>
    <w:p>
      <w:pPr>
        <w:pStyle w:val="ListParagraph"/>
        <w:numPr>
          <w:ilvl w:val="0"/>
          <w:numId w:val="1"/>
        </w:numPr>
        <w:spacing w:after="120" w:line="240"/>
      </w:pPr>
      <w:r>
        <w:rPr>
          <w:rFonts w:ascii="Arial" w:cs="Arial" w:eastAsia="Arial" w:hAnsi="Arial"/>
          <w:b/>
          <w:bCs/>
          <w:sz w:val="22"/>
          <w:szCs w:val="22"/>
        </w:rPr>
        <w:t xml:space="preserve">Glosario y definiciones (2): </w:t>
      </w:r>
      <w:r>
        <w:rPr>
          <w:rFonts w:ascii="Arial" w:cs="Arial" w:eastAsia="Arial" w:hAnsi="Arial"/>
          <w:sz w:val="22"/>
          <w:szCs w:val="22"/>
        </w:rPr>
        <w:t xml:space="preserve">No existe un documento formal de glosario, pero existe una estandarización estricta de los términos impuesta por el propio sistema informático. Conceptos como "Autosubasta", "Liquidación de compra/venta", "Guía de Movilización (SIFAE)" y "Lote" significan exactamente lo mismo para todos los actores porque los campos del sistema así lo exigen.</w:t>
      </w:r>
    </w:p>
    <w:p>
      <w:pPr>
        <w:pStyle w:val="Heading3"/>
        <w:pStyle w:val="Heading3"/>
      </w:pPr>
      <w:r>
        <w:t xml:space="preserve">Brechas:</w:t>
      </w:r>
    </w:p>
    <w:p>
      <w:pPr>
        <w:pStyle w:val="ListParagraph"/>
        <w:numPr>
          <w:ilvl w:val="0"/>
          <w:numId w:val="1"/>
        </w:numPr>
        <w:spacing w:after="120" w:line="240"/>
      </w:pPr>
      <w:r>
        <w:rPr>
          <w:rFonts w:ascii="Arial" w:cs="Arial" w:eastAsia="Arial" w:hAnsi="Arial"/>
          <w:b/>
          <w:bCs/>
          <w:sz w:val="22"/>
          <w:szCs w:val="22"/>
        </w:rPr>
        <w:t xml:space="preserve">Comité de gobernanza (1): </w:t>
      </w:r>
      <w:r>
        <w:rPr>
          <w:rFonts w:ascii="Arial" w:cs="Arial" w:eastAsia="Arial" w:hAnsi="Arial"/>
          <w:sz w:val="22"/>
          <w:szCs w:val="22"/>
        </w:rPr>
        <w:t xml:space="preserve">No existe a nivel local un comité o instancia formal para resolver conflictos de datos. Cualquier tema relacionado con auditorías informáticas o resolución de problemas profundos de datos recae directamente en la Gerencia General junto con el departamento de Informática en Colombia. No se generan actas, reuniones formales ni comunicaciones de decisiones estratégicas de datos a nivel local.</w:t>
      </w:r>
    </w:p>
    <w:p>
      <w:pPr>
        <w:pStyle w:val="Heading3"/>
        <w:pStyle w:val="Heading3"/>
      </w:pPr>
      <w:r>
        <w:t xml:space="preserve">Acción de mejora recomendada:</w:t>
      </w:r>
    </w:p>
    <w:p>
      <w:pPr>
        <w:spacing w:after="240" w:line="240"/>
      </w:pPr>
      <w:r>
        <w:t xml:space="preserve">Crear un comité de gobernanza de datos local, aunque sea de carácter coordinador con la casa matriz, que se reúna periódicamente para tomar decisiones sobre políticas y estándares de datos, documentando y comunicando las decisiones.</w:t>
      </w:r>
    </w:p>
    <w:p>
      <w:pPr>
        <w:pStyle w:val="Heading2"/>
        <w:pStyle w:val="Heading2"/>
      </w:pPr>
      <w:r>
        <w:t xml:space="preserve">5.4 Componente 4 – Arquitectura de datos (Puntaje: 2.0 – Conceptual)</w:t>
      </w:r>
    </w:p>
    <w:p>
      <w:pPr>
        <w:pStyle w:val="Heading3"/>
        <w:pStyle w:val="Heading3"/>
      </w:pPr>
      <w:r>
        <w:t xml:space="preserve">Fortalezas:</w:t>
      </w:r>
    </w:p>
    <w:p>
      <w:pPr>
        <w:pStyle w:val="ListParagraph"/>
        <w:numPr>
          <w:ilvl w:val="0"/>
          <w:numId w:val="1"/>
        </w:numPr>
        <w:spacing w:after="120" w:line="240"/>
      </w:pPr>
      <w:r>
        <w:rPr>
          <w:rFonts w:ascii="Arial" w:cs="Arial" w:eastAsia="Arial" w:hAnsi="Arial"/>
          <w:b/>
          <w:bCs/>
          <w:sz w:val="22"/>
          <w:szCs w:val="22"/>
        </w:rPr>
        <w:t xml:space="preserve">Mapa de flujos de datos (3): </w:t>
      </w:r>
      <w:r>
        <w:rPr>
          <w:rFonts w:ascii="Arial" w:cs="Arial" w:eastAsia="Arial" w:hAnsi="Arial"/>
          <w:sz w:val="22"/>
          <w:szCs w:val="22"/>
        </w:rPr>
        <w:t xml:space="preserve">El personal conoce a la perfección la ruta de los datos (Página web para clientes → Módulo de pesaje → Display → Menú SIS → SIESA/Génesis para facturación). Se han definido tres puntos de entrada principales y separados: el formulario web de inscripción para clientes nuevos, el Módulo de pesaje operado exclusivamente por el Director Operativo, y el Módulo Display para registrar el avance de la puja.</w:t>
      </w:r>
    </w:p>
    <w:p>
      <w:pPr>
        <w:pStyle w:val="ListParagraph"/>
        <w:numPr>
          <w:ilvl w:val="0"/>
          <w:numId w:val="1"/>
        </w:numPr>
        <w:spacing w:after="120" w:line="240"/>
      </w:pPr>
      <w:r>
        <w:rPr>
          <w:rFonts w:ascii="Arial" w:cs="Arial" w:eastAsia="Arial" w:hAnsi="Arial"/>
          <w:b/>
          <w:bCs/>
          <w:sz w:val="22"/>
          <w:szCs w:val="22"/>
        </w:rPr>
        <w:t xml:space="preserve">Gestión de datos maestros y de referencia (1): </w:t>
      </w:r>
      <w:r>
        <w:rPr>
          <w:rFonts w:ascii="Arial" w:cs="Arial" w:eastAsia="Arial" w:hAnsi="Arial"/>
          <w:sz w:val="22"/>
          <w:szCs w:val="22"/>
        </w:rPr>
        <w:t xml:space="preserve">El "Menú SIS" funciona como el sistema centralizado y la única fuente de verdad. El módulo de pesaje y el módulo display envían los registros de forma automática al sistema central SIS. Un cliente registrado en la página web se refleja directamente en el módulo de clientes del SIS. El control de cambios está automatizado por restricciones del software: una vez que un lote es ingresado en la báscula, o una vez que el animal es facturado, el sistema bloquea los datos y ya no permite su edición.</w:t>
      </w:r>
    </w:p>
    <w:p>
      <w:pPr>
        <w:pStyle w:val="Heading3"/>
        <w:pStyle w:val="Heading3"/>
      </w:pPr>
      <w:r>
        <w:t xml:space="preserve">Brechas:</w:t>
      </w:r>
    </w:p>
    <w:p>
      <w:pPr>
        <w:pStyle w:val="ListParagraph"/>
        <w:numPr>
          <w:ilvl w:val="0"/>
          <w:numId w:val="1"/>
        </w:numPr>
        <w:spacing w:after="120" w:line="240"/>
      </w:pPr>
      <w:r>
        <w:rPr>
          <w:rFonts w:ascii="Arial" w:cs="Arial" w:eastAsia="Arial" w:hAnsi="Arial"/>
          <w:b/>
          <w:bCs/>
          <w:sz w:val="22"/>
          <w:szCs w:val="22"/>
        </w:rPr>
        <w:t xml:space="preserve">Modelo de datos del negocio (2): </w:t>
      </w:r>
      <w:r>
        <w:rPr>
          <w:rFonts w:ascii="Arial" w:cs="Arial" w:eastAsia="Arial" w:hAnsi="Arial"/>
          <w:sz w:val="22"/>
          <w:szCs w:val="22"/>
        </w:rPr>
        <w:t xml:space="preserve">No existe a nivel local un modelo entidad-relación (ER) documentado del sistema Subastar. La arquitectura del software fue creada y es administrada íntegramente por la casa matriz en Colombia. Subastar Ecuador no cuenta con un departamento de TI local.</w:t>
      </w:r>
    </w:p>
    <w:p>
      <w:pPr>
        <w:pStyle w:val="ListParagraph"/>
        <w:numPr>
          <w:ilvl w:val="0"/>
          <w:numId w:val="1"/>
        </w:numPr>
        <w:spacing w:after="120" w:line="240"/>
      </w:pPr>
      <w:r>
        <w:rPr>
          <w:rFonts w:ascii="Arial" w:cs="Arial" w:eastAsia="Arial" w:hAnsi="Arial"/>
          <w:b/>
          <w:bCs/>
          <w:sz w:val="22"/>
          <w:szCs w:val="22"/>
        </w:rPr>
        <w:t xml:space="preserve">Integraciones documentadas: </w:t>
      </w:r>
      <w:r>
        <w:rPr>
          <w:rFonts w:ascii="Arial" w:cs="Arial" w:eastAsia="Arial" w:hAnsi="Arial"/>
          <w:sz w:val="22"/>
          <w:szCs w:val="22"/>
        </w:rPr>
        <w:t xml:space="preserve">Si bien existe integración contable con SIESA/Génesis (que se vincula y valida datos automáticamente con el SRI), se confirmó que no existe integración con AGROCALIDAD/SIFAE. El personal de Subastar simplemente entra al portal web externo de SIFAE para verificar visualmente los códigos de las guías de movilización físicas que entregan los ganaderos, lo que introduce un proceso manual y riesgo de error.</w:t>
      </w:r>
    </w:p>
    <w:p>
      <w:pPr>
        <w:pStyle w:val="Heading3"/>
        <w:pStyle w:val="Heading3"/>
      </w:pPr>
      <w:r>
        <w:t xml:space="preserve">Acción de mejora recomendada:</w:t>
      </w:r>
    </w:p>
    <w:p>
      <w:pPr>
        <w:spacing w:after="240" w:line="240"/>
      </w:pPr>
      <w:r>
        <w:t xml:space="preserve">Gestionar con la casa matriz el acceso a la documentación del modelo de datos y diagramas ER para el equipo local. Evaluar la viabilidad de una integración automatizada con SIFAE para eliminar la verificación manual de guías de movilización.</w:t>
      </w:r>
    </w:p>
    <w:p>
      <w:pPr>
        <w:pStyle w:val="Heading2"/>
        <w:pStyle w:val="Heading2"/>
      </w:pPr>
      <w:r>
        <w:t xml:space="preserve">5.5 Componente 5 – Calidad de datos (Puntaje: 2.0 – Conceptual)</w:t>
      </w:r>
    </w:p>
    <w:p>
      <w:pPr>
        <w:pStyle w:val="Heading3"/>
        <w:pStyle w:val="Heading3"/>
      </w:pPr>
      <w:r>
        <w:t xml:space="preserve">Fortalezas:</w:t>
      </w:r>
    </w:p>
    <w:p>
      <w:pPr>
        <w:pStyle w:val="ListParagraph"/>
        <w:numPr>
          <w:ilvl w:val="0"/>
          <w:numId w:val="1"/>
        </w:numPr>
        <w:spacing w:after="120" w:line="240"/>
      </w:pPr>
      <w:r>
        <w:rPr>
          <w:rFonts w:ascii="Arial" w:cs="Arial" w:eastAsia="Arial" w:hAnsi="Arial"/>
          <w:b/>
          <w:bCs/>
          <w:sz w:val="22"/>
          <w:szCs w:val="22"/>
        </w:rPr>
        <w:t xml:space="preserve">Regles y validaciones de calidad (5): </w:t>
      </w:r>
      <w:r>
        <w:rPr>
          <w:rFonts w:ascii="Arial" w:cs="Arial" w:eastAsia="Arial" w:hAnsi="Arial"/>
          <w:sz w:val="22"/>
          <w:szCs w:val="22"/>
        </w:rPr>
        <w:t xml:space="preserve">El sistema Subastar tiene validaciones activas para campos obligatorios, detecta duplicados y valida formatos (aretes, cédulas, fechas). Estas validaciones están integradas en el sistema y son parte de su operación diaria.</w:t>
      </w:r>
    </w:p>
    <w:p>
      <w:pPr>
        <w:pStyle w:val="Heading3"/>
        <w:pStyle w:val="Heading3"/>
      </w:pPr>
      <w:r>
        <w:t xml:space="preserve">Brechas:</w:t>
      </w:r>
    </w:p>
    <w:p>
      <w:pPr>
        <w:pStyle w:val="ListParagraph"/>
        <w:numPr>
          <w:ilvl w:val="0"/>
          <w:numId w:val="1"/>
        </w:numPr>
        <w:spacing w:after="120" w:line="240"/>
      </w:pPr>
      <w:r>
        <w:rPr>
          <w:rFonts w:ascii="Arial" w:cs="Arial" w:eastAsia="Arial" w:hAnsi="Arial"/>
          <w:b/>
          <w:bCs/>
          <w:sz w:val="22"/>
          <w:szCs w:val="22"/>
        </w:rPr>
        <w:t xml:space="preserve">Medición y monitoreo de calidad (1): </w:t>
      </w:r>
      <w:r>
        <w:rPr>
          <w:rFonts w:ascii="Arial" w:cs="Arial" w:eastAsia="Arial" w:hAnsi="Arial"/>
          <w:sz w:val="22"/>
          <w:szCs w:val="22"/>
        </w:rPr>
        <w:t xml:space="preserve">No se mide la completitud de los campos críticos (arete, peso, estado sanitario) de forma sistemática. No existe un reporte periódico de calidad de datos para los responsables.</w:t>
      </w:r>
    </w:p>
    <w:p>
      <w:pPr>
        <w:pStyle w:val="ListParagraph"/>
        <w:numPr>
          <w:ilvl w:val="0"/>
          <w:numId w:val="1"/>
        </w:numPr>
        <w:spacing w:after="120" w:line="240"/>
      </w:pPr>
      <w:r>
        <w:rPr>
          <w:rFonts w:ascii="Arial" w:cs="Arial" w:eastAsia="Arial" w:hAnsi="Arial"/>
          <w:b/>
          <w:bCs/>
          <w:sz w:val="22"/>
          <w:szCs w:val="22"/>
        </w:rPr>
        <w:t xml:space="preserve">Proceso de corrección de errores (1): </w:t>
      </w:r>
      <w:r>
        <w:rPr>
          <w:rFonts w:ascii="Arial" w:cs="Arial" w:eastAsia="Arial" w:hAnsi="Arial"/>
          <w:sz w:val="22"/>
          <w:szCs w:val="22"/>
        </w:rPr>
        <w:t xml:space="preserve">No existe un canal formal para reportar errores de datos al área responsable. No se documenta quién corrigió un dato, cuándo y por qué razón. Los errores corregidos no se analizan para prevenir recurrencia.</w:t>
      </w:r>
    </w:p>
    <w:p>
      <w:pPr>
        <w:pStyle w:val="ListParagraph"/>
        <w:numPr>
          <w:ilvl w:val="0"/>
          <w:numId w:val="1"/>
        </w:numPr>
        <w:spacing w:after="120" w:line="240"/>
      </w:pPr>
      <w:r>
        <w:rPr>
          <w:rFonts w:ascii="Arial" w:cs="Arial" w:eastAsia="Arial" w:hAnsi="Arial"/>
          <w:b/>
          <w:bCs/>
          <w:sz w:val="22"/>
          <w:szCs w:val="22"/>
        </w:rPr>
        <w:t xml:space="preserve">Perfilado y análisis de datos (1): </w:t>
      </w:r>
      <w:r>
        <w:rPr>
          <w:rFonts w:ascii="Arial" w:cs="Arial" w:eastAsia="Arial" w:hAnsi="Arial"/>
          <w:sz w:val="22"/>
          <w:szCs w:val="22"/>
        </w:rPr>
        <w:t xml:space="preserve">No se realiza perfilado de datos (análisis de nulos, duplicados, rangos) periódicamente.</w:t>
      </w:r>
    </w:p>
    <w:p>
      <w:pPr>
        <w:pStyle w:val="Heading3"/>
        <w:pStyle w:val="Heading3"/>
      </w:pPr>
      <w:r>
        <w:t xml:space="preserve">Acción de mejora recomendada:</w:t>
      </w:r>
    </w:p>
    <w:p>
      <w:pPr>
        <w:spacing w:after="240" w:line="240"/>
      </w:pPr>
      <w:r>
        <w:t xml:space="preserve">Implementar un programa de calidad de datos que incluya: (1) definición de métricas de calidad para los campos críticos, (2) generación de reportes periódicos de calidad, (3) establecimiento de un canal formal para reporte y corrección de errores con trazabilidad, y (4) análisis de causas raíz para prevenir recurrencias.</w:t>
      </w:r>
    </w:p>
    <w:p>
      <w:pPr>
        <w:pageBreakBefore/>
      </w:pPr>
    </w:p>
    <w:p>
      <w:pPr>
        <w:pStyle w:val="Heading1"/>
        <w:pStyle w:val="Heading1"/>
      </w:pPr>
      <w:r>
        <w:t xml:space="preserve">6. Diagrama de maturez por componente</w:t>
      </w:r>
    </w:p>
    <w:p>
      <w:pPr>
        <w:spacing w:after="240" w:line="240"/>
      </w:pPr>
      <w:r>
        <w:t xml:space="preserve">A continuación se presenta un resumen de los puntajes por componente: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pct" w:w="30%"/>
            <w:shd w:fill="2e74b5" w:val="clear"/>
            <w:vAlign w:val="center"/>
          </w:tcPr>
          <w:p>
            <w:r>
              <w:t xml:space="preserve">Componente</w:t>
            </w:r>
          </w:p>
        </w:tc>
        <w:tc>
          <w:tcPr>
            <w:tcW w:type="pct" w:w="20%"/>
            <w:shd w:fill="2e74b5" w:val="clear"/>
            <w:vAlign w:val="center"/>
          </w:tcPr>
          <w:p>
            <w:r>
              <w:t xml:space="preserve">Puntaje</w:t>
            </w:r>
          </w:p>
        </w:tc>
        <w:tc>
          <w:tcPr>
            <w:tcW w:type="pct" w:w="50%"/>
            <w:shd w:fill="2e74b5" w:val="clear"/>
            <w:vAlign w:val="center"/>
          </w:tcPr>
          <w:p>
            <w:r>
              <w:t xml:space="preserve">Nivel</w:t>
            </w:r>
          </w:p>
        </w:tc>
      </w:tr>
      <w:tr>
        <w:tc>
          <w:tcPr>
            <w:tcW w:type="pct" w:w="30%"/>
            <w:shd w:fill="FFFFFF" w:val="clear"/>
            <w:vAlign w:val="center"/>
          </w:tcPr>
          <w:p>
            <w:r>
              <w:t xml:space="preserve">C1: Estrategia de gestión de datos</w:t>
            </w:r>
          </w:p>
        </w:tc>
        <w:tc>
          <w:tcPr>
            <w:tcW w:type="pct" w:w="20%"/>
            <w:shd w:fill="FFFFFF" w:val="clear"/>
            <w:vAlign w:val="center"/>
          </w:tcPr>
          <w:p>
            <w:r>
              <w:t xml:space="preserve">4.3</w:t>
            </w:r>
          </w:p>
        </w:tc>
        <w:tc>
          <w:tcPr>
            <w:tcW w:type="pct" w:w="50%"/>
            <w:shd w:fill="FFFFFF" w:val="clear"/>
            <w:vAlign w:val="center"/>
          </w:tcPr>
          <w:p>
            <w:r>
              <w:t xml:space="preserve">Definido</w:t>
            </w:r>
          </w:p>
        </w:tc>
      </w:tr>
      <w:tr>
        <w:tc>
          <w:tcPr>
            <w:tcW w:type="pct" w:w="30%"/>
            <w:shd w:fill="FFFFFF" w:val="clear"/>
            <w:vAlign w:val="center"/>
          </w:tcPr>
          <w:p>
            <w:r>
              <w:t xml:space="preserve">C2: Programa y financiamiento</w:t>
            </w:r>
          </w:p>
        </w:tc>
        <w:tc>
          <w:tcPr>
            <w:tcW w:type="pct" w:w="20%"/>
            <w:shd w:fill="FFFFFF" w:val="clear"/>
            <w:vAlign w:val="center"/>
          </w:tcPr>
          <w:p>
            <w:r>
              <w:t xml:space="preserve">2.3</w:t>
            </w:r>
          </w:p>
        </w:tc>
        <w:tc>
          <w:tcPr>
            <w:tcW w:type="pct" w:w="50%"/>
            <w:shd w:fill="FFFFFF" w:val="clear"/>
            <w:vAlign w:val="center"/>
          </w:tcPr>
          <w:p>
            <w:r>
              <w:t xml:space="preserve">Conceptual</w:t>
            </w:r>
          </w:p>
        </w:tc>
      </w:tr>
      <w:tr>
        <w:tc>
          <w:tcPr>
            <w:tcW w:type="pct" w:w="30%"/>
            <w:shd w:fill="FFFFFF" w:val="clear"/>
            <w:vAlign w:val="center"/>
          </w:tcPr>
          <w:p>
            <w:r>
              <w:t xml:space="preserve">C3: Gobernanza de datos</w:t>
            </w:r>
          </w:p>
        </w:tc>
        <w:tc>
          <w:tcPr>
            <w:tcW w:type="pct" w:w="20%"/>
            <w:shd w:fill="FFFFFF" w:val="clear"/>
            <w:vAlign w:val="center"/>
          </w:tcPr>
          <w:p>
            <w:r>
              <w:t xml:space="preserve">1.8</w:t>
            </w:r>
          </w:p>
        </w:tc>
        <w:tc>
          <w:tcPr>
            <w:tcW w:type="pct" w:w="50%"/>
            <w:shd w:fill="FFFFFF" w:val="clear"/>
            <w:vAlign w:val="center"/>
          </w:tcPr>
          <w:p>
            <w:r>
              <w:t xml:space="preserve">Conceptual</w:t>
            </w:r>
          </w:p>
        </w:tc>
      </w:tr>
      <w:tr>
        <w:tc>
          <w:tcPr>
            <w:tcW w:type="pct" w:w="30%"/>
            <w:shd w:fill="FFFFFF" w:val="clear"/>
            <w:vAlign w:val="center"/>
          </w:tcPr>
          <w:p>
            <w:r>
              <w:t xml:space="preserve">C4: Arquitectura de datos</w:t>
            </w:r>
          </w:p>
        </w:tc>
        <w:tc>
          <w:tcPr>
            <w:tcW w:type="pct" w:w="20%"/>
            <w:shd w:fill="FFFFFF" w:val="clear"/>
            <w:vAlign w:val="center"/>
          </w:tcPr>
          <w:p>
            <w:r>
              <w:t xml:space="preserve">2.0</w:t>
            </w:r>
          </w:p>
        </w:tc>
        <w:tc>
          <w:tcPr>
            <w:tcW w:type="pct" w:w="50%"/>
            <w:shd w:fill="FFFFFF" w:val="clear"/>
            <w:vAlign w:val="center"/>
          </w:tcPr>
          <w:p>
            <w:r>
              <w:t xml:space="preserve">Conceptual</w:t>
            </w:r>
          </w:p>
        </w:tc>
      </w:tr>
      <w:tr>
        <w:tc>
          <w:tcPr>
            <w:tcW w:type="pct" w:w="30%"/>
            <w:shd w:fill="FFFFFF" w:val="clear"/>
            <w:vAlign w:val="center"/>
          </w:tcPr>
          <w:p>
            <w:r>
              <w:t xml:space="preserve">C5: Calidad de datos</w:t>
            </w:r>
          </w:p>
        </w:tc>
        <w:tc>
          <w:tcPr>
            <w:tcW w:type="pct" w:w="20%"/>
            <w:shd w:fill="FFFFFF" w:val="clear"/>
            <w:vAlign w:val="center"/>
          </w:tcPr>
          <w:p>
            <w:r>
              <w:t xml:space="preserve">2.0</w:t>
            </w:r>
          </w:p>
        </w:tc>
        <w:tc>
          <w:tcPr>
            <w:tcW w:type="pct" w:w="50%"/>
            <w:shd w:fill="FFFFFF" w:val="clear"/>
            <w:vAlign w:val="center"/>
          </w:tcPr>
          <w:p>
            <w:r>
              <w:t xml:space="preserve">Conceptual</w:t>
            </w:r>
          </w:p>
        </w:tc>
      </w:tr>
      <w:tr>
        <w:tc>
          <w:tcPr>
            <w:tcW w:type="pct" w:w="30%"/>
            <w:shd w:fill="FFFFFF" w:val="clear"/>
            <w:vAlign w:val="center"/>
          </w:tcPr>
          <w:p>
            <w:r>
              <w:t xml:space="preserve">C6: Control y riesgo de datos</w:t>
            </w:r>
          </w:p>
        </w:tc>
        <w:tc>
          <w:tcPr>
            <w:tcW w:type="pct" w:w="20%"/>
            <w:shd w:fill="FFFFFF" w:val="clear"/>
            <w:vAlign w:val="center"/>
          </w:tcPr>
          <w:p>
            <w:r>
              <w:t xml:space="preserve">1.3</w:t>
            </w:r>
          </w:p>
        </w:tc>
        <w:tc>
          <w:tcPr>
            <w:tcW w:type="pct" w:w="50%"/>
            <w:shd w:fill="FFFFFF" w:val="clear"/>
            <w:vAlign w:val="center"/>
          </w:tcPr>
          <w:p>
            <w:r>
              <w:t xml:space="preserve">No iniciado</w:t>
            </w:r>
          </w:p>
        </w:tc>
      </w:tr>
      <w:tr>
        <w:tc>
          <w:tcPr>
            <w:tcW w:type="pct" w:w="30%"/>
            <w:shd w:fill="FFFFFF" w:val="clear"/>
            <w:vAlign w:val="center"/>
          </w:tcPr>
          <w:p>
            <w:r>
              <w:t xml:space="preserve">C7: Metadatos e integración</w:t>
            </w:r>
          </w:p>
        </w:tc>
        <w:tc>
          <w:tcPr>
            <w:tcW w:type="pct" w:w="20%"/>
            <w:shd w:fill="FFFFFF" w:val="clear"/>
            <w:vAlign w:val="center"/>
          </w:tcPr>
          <w:p>
            <w:r>
              <w:t xml:space="preserve">1.0</w:t>
            </w:r>
          </w:p>
        </w:tc>
        <w:tc>
          <w:tcPr>
            <w:tcW w:type="pct" w:w="50%"/>
            <w:shd w:fill="FFFFFF" w:val="clear"/>
            <w:vAlign w:val="center"/>
          </w:tcPr>
          <w:p>
            <w:r>
              <w:t xml:space="preserve">No iniciado</w:t>
            </w:r>
          </w:p>
        </w:tc>
      </w:tr>
      <w:tr>
        <w:tc>
          <w:tcPr>
            <w:tcW w:type="pct" w:w="30%"/>
            <w:shd w:fill="FFFFFF" w:val="clear"/>
            <w:vAlign w:val="center"/>
          </w:tcPr>
          <w:p>
            <w:r>
              <w:t xml:space="preserve">C8: Analítica, reportes y acceso</w:t>
            </w:r>
          </w:p>
        </w:tc>
        <w:tc>
          <w:tcPr>
            <w:tcW w:type="pct" w:w="20%"/>
            <w:shd w:fill="FFFFFF" w:val="clear"/>
            <w:vAlign w:val="center"/>
          </w:tcPr>
          <w:p>
            <w:r>
              <w:t xml:space="preserve">3.0</w:t>
            </w:r>
          </w:p>
        </w:tc>
        <w:tc>
          <w:tcPr>
            <w:tcW w:type="pct" w:w="50%"/>
            <w:shd w:fill="FFFFFF" w:val="clear"/>
            <w:vAlign w:val="center"/>
          </w:tcPr>
          <w:p>
            <w:r>
              <w:t xml:space="preserve">En desarrollo</w:t>
            </w:r>
          </w:p>
        </w:tc>
      </w:tr>
      <w:tr>
        <w:tc>
          <w:tcPr>
            <w:tcW w:type="pct" w:w="30%"/>
            <w:shd w:fill="D9E1F2" w:val="clear"/>
            <w:vAlign w:val="center"/>
          </w:tcPr>
          <w:p>
            <w:r>
              <w:t xml:space="preserve">PROMEDIO GENERAL</w:t>
            </w:r>
          </w:p>
        </w:tc>
        <w:tc>
          <w:tcPr>
            <w:tcW w:type="pct" w:w="20%"/>
            <w:shd w:fill="D9E1F2" w:val="clear"/>
            <w:vAlign w:val="center"/>
          </w:tcPr>
          <w:p>
            <w:r>
              <w:t xml:space="preserve">2.2</w:t>
            </w:r>
          </w:p>
        </w:tc>
        <w:tc>
          <w:tcPr>
            <w:tcW w:type="pct" w:w="50%"/>
            <w:shd w:fill="D9E1F2" w:val="clear"/>
            <w:vAlign w:val="center"/>
          </w:tcPr>
          <w:p>
            <w:r>
              <w:t xml:space="preserve">Conceptual</w:t>
            </w:r>
          </w:p>
        </w:tc>
      </w:tr>
    </w:tbl>
    <w:p>
      <w:pPr>
        <w:spacing w:line="240"/>
      </w:pPr>
    </w:p>
    <w:p>
      <w:pPr>
        <w:spacing w:after="240" w:line="240"/>
      </w:pPr>
      <w:r>
        <w:t xml:space="preserve">Interpretación: La empresa tiene un nivel de madurez "Conceptual" (promedio 2.2). Las áreas de mayor fortaleza están en Estrategia (C1: 4.3) y Analítica (C8: 3.0). Las áreas críticas de mejora son Metadatos (C7: 1.0), Control y riesgo (C6: 1.3), y Gobernanza (C3: 1.8).</w:t>
      </w:r>
    </w:p>
    <w:p>
      <w:pPr>
        <w:pStyle w:val="Heading1"/>
        <w:pStyle w:val="Heading1"/>
      </w:pPr>
      <w:r>
        <w:t xml:space="preserve">7. Conclusiones y hallazgos clave</w:t>
      </w:r>
    </w:p>
    <w:p>
      <w:pPr>
        <w:pStyle w:val="Heading2"/>
        <w:pStyle w:val="Heading2"/>
      </w:pPr>
      <w:r>
        <w:t xml:space="preserve">Hallazgo 1: Madurez de facto vs. madurez documentada</w:t>
      </w:r>
    </w:p>
    <w:p>
      <w:pPr>
        <w:spacing w:after="240" w:line="240"/>
      </w:pPr>
      <w:r>
        <w:t xml:space="preserve">El personal operativo tiene una madurez y consciencia sobre la importancia de los datos MAYOR que la que se evidencia en políticas y procesos documentados. El sistema funciona bien porque las personas saben qué hacer, pero no porque existan procedimientos formales escritos.</w:t>
      </w:r>
    </w:p>
    <w:p>
      <w:pPr>
        <w:pStyle w:val="Heading2"/>
        <w:pStyle w:val="Heading2"/>
      </w:pPr>
      <w:r>
        <w:t xml:space="preserve">Hallazgo 2: Dependencia de la casa matriz</w:t>
      </w:r>
    </w:p>
    <w:p>
      <w:pPr>
        <w:spacing w:after="240" w:line="240"/>
      </w:pPr>
      <w:r>
        <w:t xml:space="preserve">Subastar Ecuador opera bajo una estructura de gobernanza centralizada. Todas las decisiones estratégicas de TI, auditorías y políticas de datos se toman en Colombia, lo que limita la capacidad de acción local pero también simplifica la operación.</w:t>
      </w:r>
    </w:p>
    <w:p>
      <w:pPr>
        <w:pStyle w:val="Heading2"/>
        <w:pStyle w:val="Heading2"/>
      </w:pPr>
      <w:r>
        <w:t xml:space="preserve">Hallazgo 3: Riesgos operacionales no documentados</w:t>
      </w:r>
    </w:p>
    <w:p>
      <w:pPr>
        <w:spacing w:after="240" w:line="240"/>
      </w:pPr>
      <w:r>
        <w:t xml:space="preserve">Si bien existen validaciones activas en el sistema, no existe un programa sistemático de monitoreo de calidad de datos, un canal de reporte de errores formalizado o un análisis de causas raíz. Esto significa que errores pueden ocurrir y no ser detectados o aprendizajes de errores pasados pueden no ser capitalizados.</w:t>
      </w:r>
    </w:p>
    <w:p>
      <w:pPr>
        <w:pStyle w:val="Heading2"/>
        <w:pStyle w:val="Heading2"/>
      </w:pPr>
      <w:r>
        <w:t xml:space="preserve">Hallazgo 4: Ausencia de financiamiento local</w:t>
      </w:r>
    </w:p>
    <w:p>
      <w:pPr>
        <w:spacing w:after="240" w:line="240"/>
      </w:pPr>
      <w:r>
        <w:t xml:space="preserve">La sucursal ecuatoriana no cuenta con presupuesto asignado para iniciativas de gobernanza de datos. Cualquier mejora dependerá de la decisión (y financiamiento) de la casa matriz.</w:t>
      </w:r>
    </w:p>
    <w:p>
      <w:pPr>
        <w:pageBreakBefore/>
      </w:pPr>
    </w:p>
    <w:p>
      <w:pPr>
        <w:pStyle w:val="Heading1"/>
        <w:pStyle w:val="Heading1"/>
      </w:pPr>
      <w:r>
        <w:t xml:space="preserve">8. Recomendaciones</w:t>
      </w:r>
    </w:p>
    <w:p>
      <w:pPr>
        <w:pStyle w:val="Heading2"/>
        <w:pStyle w:val="Heading2"/>
      </w:pPr>
      <w:r>
        <w:t xml:space="preserve">8.1 Recomendaciones estratégicas (prioridad máxima)</w:t>
      </w:r>
    </w:p>
    <w:p>
      <w:pPr>
        <w:pStyle w:val="ListParagraph"/>
        <w:numPr>
          <w:ilvl w:val="0"/>
          <w:numId w:val="1"/>
        </w:numPr>
        <w:spacing w:after="120" w:line="240"/>
      </w:pPr>
      <w:r>
        <w:rPr>
          <w:rFonts w:ascii="Arial" w:cs="Arial" w:eastAsia="Arial" w:hAnsi="Arial"/>
          <w:b/>
          <w:bCs/>
          <w:sz w:val="22"/>
          <w:szCs w:val="22"/>
        </w:rPr>
        <w:t xml:space="preserve">1. Definir un modelo de gobernanza híbrido: </w:t>
      </w:r>
      <w:r>
        <w:rPr>
          <w:rFonts w:ascii="Arial" w:cs="Arial" w:eastAsia="Arial" w:hAnsi="Arial"/>
          <w:sz w:val="22"/>
          <w:szCs w:val="22"/>
        </w:rPr>
        <w:t xml:space="preserve">Establecer un esquema de gobernanza de datos que combine la dirección estratégica desde Colombia con la ejecución y adaptación local en Ecuador. Esto incluye la creación de un comité de gobernanza local con capacidad de toma de decisiones sobre políticas y estándares aplicables a la operación ecuatoriana.</w:t>
      </w:r>
    </w:p>
    <w:p>
      <w:pPr>
        <w:pStyle w:val="ListParagraph"/>
        <w:numPr>
          <w:ilvl w:val="0"/>
          <w:numId w:val="1"/>
        </w:numPr>
        <w:spacing w:after="120" w:line="240"/>
      </w:pPr>
      <w:r>
        <w:rPr>
          <w:rFonts w:ascii="Arial" w:cs="Arial" w:eastAsia="Arial" w:hAnsi="Arial"/>
          <w:b/>
          <w:bCs/>
          <w:sz w:val="22"/>
          <w:szCs w:val="22"/>
        </w:rPr>
        <w:t xml:space="preserve">2. Elaborar un caso de negocio local: </w:t>
      </w:r>
      <w:r>
        <w:rPr>
          <w:rFonts w:ascii="Arial" w:cs="Arial" w:eastAsia="Arial" w:hAnsi="Arial"/>
          <w:sz w:val="22"/>
          <w:szCs w:val="22"/>
        </w:rPr>
        <w:t xml:space="preserve">Cuantificar los beneficios de una gestión de datos madura (reducción de errores, eficiencia operativa, mejor toma de decisiones) y los riesgos de no hacerlo, para justificar la inversión en un programa de datos local con presupuesto recurrente.</w:t>
      </w:r>
    </w:p>
    <w:p>
      <w:pPr>
        <w:pStyle w:val="ListParagraph"/>
        <w:numPr>
          <w:ilvl w:val="0"/>
          <w:numId w:val="1"/>
        </w:numPr>
        <w:spacing w:after="120" w:line="240"/>
      </w:pPr>
      <w:r>
        <w:rPr>
          <w:rFonts w:ascii="Arial" w:cs="Arial" w:eastAsia="Arial" w:hAnsi="Arial"/>
          <w:b/>
          <w:bCs/>
          <w:sz w:val="22"/>
          <w:szCs w:val="22"/>
        </w:rPr>
        <w:t xml:space="preserve">3. Integrar la gestión de datos con la estrategia de negocio: </w:t>
      </w:r>
      <w:r>
        <w:rPr>
          <w:rFonts w:ascii="Arial" w:cs="Arial" w:eastAsia="Arial" w:hAnsi="Arial"/>
          <w:sz w:val="22"/>
          <w:szCs w:val="22"/>
        </w:rPr>
        <w:t xml:space="preserve">Aprovechar la sólida base de métricas de valor del dato (C1) para impulsar la inversión en los componentes de menor madurez (C5, C6, C7).</w:t>
      </w:r>
    </w:p>
    <w:p>
      <w:pPr>
        <w:pStyle w:val="Heading2"/>
        <w:pStyle w:val="Heading2"/>
      </w:pPr>
      <w:r>
        <w:t xml:space="preserve">8.2 Recomendaciones tácticas (prioridad alta)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pct" w:w="5%"/>
            <w:shd w:fill="2e74b5" w:val="clear"/>
            <w:vAlign w:val="center"/>
          </w:tcPr>
          <w:p>
            <w:r>
              <w:t xml:space="preserve">#</w:t>
            </w:r>
          </w:p>
        </w:tc>
        <w:tc>
          <w:tcPr>
            <w:tcW w:type="pct" w:w="20%"/>
            <w:shd w:fill="2e74b5" w:val="clear"/>
            <w:vAlign w:val="center"/>
          </w:tcPr>
          <w:p>
            <w:r>
              <w:t xml:space="preserve">Acción</w:t>
            </w:r>
          </w:p>
        </w:tc>
        <w:tc>
          <w:tcPr>
            <w:tcW w:type="pct" w:w="45%"/>
            <w:shd w:fill="2e74b5" w:val="clear"/>
            <w:vAlign w:val="center"/>
          </w:tcPr>
          <w:p>
            <w:r>
              <w:t xml:space="preserve">Detalle</w:t>
            </w:r>
          </w:p>
        </w:tc>
        <w:tc>
          <w:tcPr>
            <w:tcW w:type="pct" w:w="30%"/>
            <w:shd w:fill="2e74b5" w:val="clear"/>
            <w:vAlign w:val="center"/>
          </w:tcPr>
          <w:p>
            <w:r>
              <w:t xml:space="preserve">Responsable</w:t>
            </w:r>
          </w:p>
        </w:tc>
      </w:tr>
      <w:tr>
        <w:tc>
          <w:tcPr>
            <w:tcW w:type="pct" w:w="5%"/>
          </w:tcPr>
          <w:p>
            <w:r>
              <w:t xml:space="preserve">1</w:t>
            </w:r>
          </w:p>
        </w:tc>
        <w:tc>
          <w:tcPr>
            <w:tcW w:type="pct" w:w="20%"/>
          </w:tcPr>
          <w:p>
            <w:r>
              <w:t xml:space="preserve">Implementar programa de calidad de datos</w:t>
            </w:r>
          </w:p>
        </w:tc>
        <w:tc>
          <w:tcPr>
            <w:tcW w:type="pct" w:w="45%"/>
          </w:tcPr>
          <w:p>
            <w:r>
              <w:t xml:space="preserve">Definir métricas de calidad (completitud, consistencia, exactitud) para campos críticos, generar reportes periódicos y establecer un canal formal para reporte y corrección de errores con trazabilidad.</w:t>
            </w:r>
          </w:p>
        </w:tc>
        <w:tc>
          <w:tcPr>
            <w:tcW w:type="pct" w:w="30%"/>
          </w:tcPr>
          <w:p>
            <w:r>
              <w:t xml:space="preserve">Director Operativo</w:t>
            </w:r>
          </w:p>
        </w:tc>
      </w:tr>
      <w:tr>
        <w:tc>
          <w:tcPr>
            <w:tcW w:type="pct" w:w="5%"/>
          </w:tcPr>
          <w:p>
            <w:r>
              <w:t xml:space="preserve">2</w:t>
            </w:r>
          </w:p>
        </w:tc>
        <w:tc>
          <w:tcPr>
            <w:tcW w:type="pct" w:w="20%"/>
          </w:tcPr>
          <w:p>
            <w:r>
              <w:t xml:space="preserve">Iniciar documentación de metadatos</w:t>
            </w:r>
          </w:p>
        </w:tc>
        <w:tc>
          <w:tcPr>
            <w:tcW w:type="pct" w:w="45%"/>
          </w:tcPr>
          <w:p>
            <w:r>
              <w:t xml:space="preserve">Crear un diccionario de datos básico para las entidades críticas (Animal, Lote, Comprador, Vendedor, Transacción), documentando campos, tipos y significados.</w:t>
            </w:r>
          </w:p>
        </w:tc>
        <w:tc>
          <w:tcPr>
            <w:tcW w:type="pct" w:w="30%"/>
          </w:tcPr>
          <w:p>
            <w:r>
              <w:t xml:space="preserve">Director Operativo / Analista de datos</w:t>
            </w:r>
          </w:p>
        </w:tc>
      </w:tr>
      <w:tr>
        <w:tc>
          <w:tcPr>
            <w:tcW w:type="pct" w:w="5%"/>
          </w:tcPr>
          <w:p>
            <w:r>
              <w:t xml:space="preserve">3</w:t>
            </w:r>
          </w:p>
        </w:tc>
        <w:tc>
          <w:tcPr>
            <w:tcW w:type="pct" w:w="20%"/>
          </w:tcPr>
          <w:p>
            <w:r>
              <w:t xml:space="preserve">Implementar controles de seguridad y cumplimiento</w:t>
            </w:r>
          </w:p>
        </w:tc>
        <w:tc>
          <w:tcPr>
            <w:tcW w:type="pct" w:w="45%"/>
          </w:tcPr>
          <w:p>
            <w:r>
              <w:t xml:space="preserve">Clasificar datos por sensibilidad, revisar accesos periódicamente, evaluar cumplimiento de LOPDP y establecer un proceso de gestión de incidentes con respaldos y pruebas de restauración.</w:t>
            </w:r>
          </w:p>
        </w:tc>
        <w:tc>
          <w:tcPr>
            <w:tcW w:type="pct" w:w="30%"/>
          </w:tcPr>
          <w:p>
            <w:r>
              <w:t xml:space="preserve">Gerencia General / Informática Colombia</w:t>
            </w:r>
          </w:p>
        </w:tc>
      </w:tr>
      <w:tr>
        <w:tc>
          <w:tcPr>
            <w:tcW w:type="pct" w:w="5%"/>
          </w:tcPr>
          <w:p>
            <w:r>
              <w:t xml:space="preserve">4</w:t>
            </w:r>
          </w:p>
        </w:tc>
        <w:tc>
          <w:tcPr>
            <w:tcW w:type="pct" w:w="20%"/>
          </w:tcPr>
          <w:p>
            <w:r>
              <w:t xml:space="preserve">Crear comité de gobernanza local</w:t>
            </w:r>
          </w:p>
        </w:tc>
        <w:tc>
          <w:tcPr>
            <w:tcW w:type="pct" w:w="45%"/>
          </w:tcPr>
          <w:p>
            <w:r>
              <w:t xml:space="preserve">Establecer un foro local (con representación de Operaciones, Comercial, Facturación y Gerencia) que se reúna mensualmente para revisar políticas, resolver conflictos y documentar decisiones.</w:t>
            </w:r>
          </w:p>
        </w:tc>
        <w:tc>
          <w:tcPr>
            <w:tcW w:type="pct" w:w="30%"/>
          </w:tcPr>
          <w:p>
            <w:r>
              <w:t xml:space="preserve">Gerente de Gobernanza</w:t>
            </w:r>
          </w:p>
        </w:tc>
      </w:tr>
    </w:tbl>
    <w:p>
      <w:pPr>
        <w:spacing w:line="240"/>
      </w:pPr>
    </w:p>
    <w:p>
      <w:pPr>
        <w:pStyle w:val="Heading2"/>
        <w:pStyle w:val="Heading2"/>
      </w:pPr>
      <w:r>
        <w:t xml:space="preserve">8.3 Recomendaciones a mediano plazo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pct" w:w="5%"/>
            <w:shd w:fill="2e74b5" w:val="clear"/>
            <w:vAlign w:val="center"/>
          </w:tcPr>
          <w:p>
            <w:r>
              <w:t xml:space="preserve">#</w:t>
            </w:r>
          </w:p>
        </w:tc>
        <w:tc>
          <w:tcPr>
            <w:tcW w:type="pct" w:w="25%"/>
            <w:shd w:fill="2e74b5" w:val="clear"/>
            <w:vAlign w:val="center"/>
          </w:tcPr>
          <w:p>
            <w:r>
              <w:t xml:space="preserve">Acción</w:t>
            </w:r>
          </w:p>
        </w:tc>
        <w:tc>
          <w:tcPr>
            <w:tcW w:type="pct" w:w="50%"/>
            <w:shd w:fill="2e74b5" w:val="clear"/>
            <w:vAlign w:val="center"/>
          </w:tcPr>
          <w:p>
            <w:r>
              <w:t xml:space="preserve">Detalle</w:t>
            </w:r>
          </w:p>
        </w:tc>
        <w:tc>
          <w:tcPr>
            <w:tcW w:type="pct" w:w="20%"/>
            <w:shd w:fill="2e74b5" w:val="clear"/>
            <w:vAlign w:val="center"/>
          </w:tcPr>
          <w:p>
            <w:r>
              <w:t xml:space="preserve">Responsable</w:t>
            </w:r>
          </w:p>
        </w:tc>
      </w:tr>
      <w:tr>
        <w:tc>
          <w:tcPr>
            <w:tcW w:type="pct" w:w="5%"/>
          </w:tcPr>
          <w:p>
            <w:r>
              <w:t xml:space="preserve">5</w:t>
            </w:r>
          </w:p>
        </w:tc>
        <w:tc>
          <w:tcPr>
            <w:tcW w:type="pct" w:w="25%"/>
          </w:tcPr>
          <w:p>
            <w:r>
              <w:t xml:space="preserve">Gestionar acceso a documentación</w:t>
            </w:r>
          </w:p>
        </w:tc>
        <w:tc>
          <w:tcPr>
            <w:tcW w:type="pct" w:w="50%"/>
          </w:tcPr>
          <w:p>
            <w:r>
              <w:t xml:space="preserve">Solicitar a la casa matriz el acceso a diagramas ER, modelos de datos y documentación técnica del sistema para el equipo local.</w:t>
            </w:r>
          </w:p>
        </w:tc>
        <w:tc>
          <w:tcPr>
            <w:tcW w:type="pct" w:w="20%"/>
          </w:tcPr>
          <w:p>
            <w:r>
              <w:t xml:space="preserve">Gerente de Gobernanza</w:t>
            </w:r>
          </w:p>
        </w:tc>
      </w:tr>
      <w:tr>
        <w:tc>
          <w:tcPr>
            <w:tcW w:type="pct" w:w="5%"/>
          </w:tcPr>
          <w:p>
            <w:r>
              <w:t xml:space="preserve">6</w:t>
            </w:r>
          </w:p>
        </w:tc>
        <w:tc>
          <w:tcPr>
            <w:tcW w:type="pct" w:w="25%"/>
          </w:tcPr>
          <w:p>
            <w:r>
              <w:t xml:space="preserve">Evaluar integración con SIFAE</w:t>
            </w:r>
          </w:p>
        </w:tc>
        <w:tc>
          <w:tcPr>
            <w:tcW w:type="pct" w:w="50%"/>
          </w:tcPr>
          <w:p>
            <w:r>
              <w:t xml:space="preserve">Analizar la viabilidad técnica y regulatoria de una integración entre el Menú SIS y el sistema SIFAE para eliminar la verificación manual de guías de movilización.</w:t>
            </w:r>
          </w:p>
        </w:tc>
        <w:tc>
          <w:tcPr>
            <w:tcW w:type="pct" w:w="20%"/>
          </w:tcPr>
          <w:p>
            <w:r>
              <w:t xml:space="preserve">Informática Colombia / Gerente de Gobernanza</w:t>
            </w:r>
          </w:p>
        </w:tc>
      </w:tr>
      <w:tr>
        <w:tc>
          <w:tcPr>
            <w:tcW w:type="pct" w:w="5%"/>
          </w:tcPr>
          <w:p>
            <w:r>
              <w:t xml:space="preserve">7</w:t>
            </w:r>
          </w:p>
        </w:tc>
        <w:tc>
          <w:tcPr>
            <w:tcW w:type="pct" w:w="25%"/>
          </w:tcPr>
          <w:p>
            <w:r>
              <w:t xml:space="preserve">Potenciar la analítica avanzada</w:t>
            </w:r>
          </w:p>
        </w:tc>
        <w:tc>
          <w:tcPr>
            <w:tcW w:type="pct" w:w="50%"/>
          </w:tcPr>
          <w:p>
            <w:r>
              <w:t xml:space="preserve">Implementar análisis de tendencias de precios, patrones de comportamiento de compradores y modelos predictivos para la planificación de subastas.</w:t>
            </w:r>
          </w:p>
        </w:tc>
        <w:tc>
          <w:tcPr>
            <w:tcW w:type="pct" w:w="20%"/>
          </w:tcPr>
          <w:p>
            <w:r>
              <w:t xml:space="preserve">Gerente Comercial / Analista de datos</w:t>
            </w:r>
          </w:p>
        </w:tc>
      </w:tr>
    </w:tbl>
    <w:p>
      <w:pPr>
        <w:spacing w:line="240"/>
      </w:pPr>
    </w:p>
    <w:p>
      <w:pPr>
        <w:pStyle w:val="Heading2"/>
        <w:pStyle w:val="Heading2"/>
      </w:pPr>
      <w:r>
        <w:t xml:space="preserve">8.4 Recomendaciones a largo plazo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tcW w:type="pct" w:w="5%"/>
            <w:shd w:fill="2e74b5" w:val="clear"/>
            <w:vAlign w:val="center"/>
          </w:tcPr>
          <w:p>
            <w:r>
              <w:t xml:space="preserve">#</w:t>
            </w:r>
          </w:p>
        </w:tc>
        <w:tc>
          <w:tcPr>
            <w:tcW w:type="pct" w:w="25%"/>
            <w:shd w:fill="2e74b5" w:val="clear"/>
            <w:vAlign w:val="center"/>
          </w:tcPr>
          <w:p>
            <w:r>
              <w:t xml:space="preserve">Acción</w:t>
            </w:r>
          </w:p>
        </w:tc>
        <w:tc>
          <w:tcPr>
            <w:tcW w:type="pct" w:w="50%"/>
            <w:shd w:fill="2e74b5" w:val="clear"/>
            <w:vAlign w:val="center"/>
          </w:tcPr>
          <w:p>
            <w:r>
              <w:t xml:space="preserve">Detalle</w:t>
            </w:r>
          </w:p>
        </w:tc>
        <w:tc>
          <w:tcPr>
            <w:tcW w:type="pct" w:w="20%"/>
            <w:shd w:fill="2e74b5" w:val="clear"/>
            <w:vAlign w:val="center"/>
          </w:tcPr>
          <w:p>
            <w:r>
              <w:t xml:space="preserve">Responsable</w:t>
            </w:r>
          </w:p>
        </w:tc>
      </w:tr>
      <w:tr>
        <w:tc>
          <w:tcPr>
            <w:tcW w:type="pct" w:w="5%"/>
          </w:tcPr>
          <w:p>
            <w:r>
              <w:t xml:space="preserve">8</w:t>
            </w:r>
          </w:p>
        </w:tc>
        <w:tc>
          <w:tcPr>
            <w:tcW w:type="pct" w:w="25%"/>
          </w:tcPr>
          <w:p>
            <w:r>
              <w:t xml:space="preserve">Formalizar hoja de ruta</w:t>
            </w:r>
          </w:p>
        </w:tc>
        <w:tc>
          <w:tcPr>
            <w:tcW w:type="pct" w:w="50%"/>
          </w:tcPr>
          <w:p>
            <w:r>
              <w:t xml:space="preserve">Definir un plan de acción con iniciativas priorizadas, plazos y responsables locales, alineado con la estrategia global de la casa matriz.</w:t>
            </w:r>
          </w:p>
        </w:tc>
        <w:tc>
          <w:tcPr>
            <w:tcW w:type="pct" w:w="20%"/>
          </w:tcPr>
          <w:p>
            <w:r>
              <w:t xml:space="preserve">Gerente de Gobernanza</w:t>
            </w:r>
          </w:p>
        </w:tc>
      </w:tr>
      <w:tr>
        <w:tc>
          <w:tcPr>
            <w:tcW w:type="pct" w:w="5%"/>
          </w:tcPr>
          <w:p>
            <w:r>
              <w:t xml:space="preserve">9</w:t>
            </w:r>
          </w:p>
        </w:tc>
        <w:tc>
          <w:tcPr>
            <w:tcW w:type="pct" w:w="25%"/>
          </w:tcPr>
          <w:p>
            <w:r>
              <w:t xml:space="preserve">Capacitación en datos</w:t>
            </w:r>
          </w:p>
        </w:tc>
        <w:tc>
          <w:tcPr>
            <w:tcW w:type="pct" w:w="50%"/>
          </w:tcPr>
          <w:p>
            <w:r>
              <w:t xml:space="preserve">Formar al personal local en conceptos de gobernanza, calidad de datos y metadatos, para fortalecer la cultura de datos.</w:t>
            </w:r>
          </w:p>
        </w:tc>
        <w:tc>
          <w:tcPr>
            <w:tcW w:type="pct" w:w="20%"/>
          </w:tcPr>
          <w:p>
            <w:r>
              <w:t xml:space="preserve">Gerencia General / RR.HH.</w:t>
            </w:r>
          </w:p>
        </w:tc>
      </w:tr>
    </w:tbl>
    <w:p>
      <w:pPr>
        <w:spacing w:line="240"/>
      </w:pPr>
    </w:p>
    <w:p>
      <w:pPr>
        <w:pageBreakBefore/>
      </w:pPr>
    </w:p>
    <w:p>
      <w:pPr>
        <w:pStyle w:val="Heading1"/>
        <w:pStyle w:val="Heading1"/>
      </w:pPr>
      <w:r>
        <w:t xml:space="preserve">9. Anexos</w:t>
      </w:r>
    </w:p>
    <w:p>
      <w:pPr>
        <w:pStyle w:val="Heading2"/>
        <w:pStyle w:val="Heading2"/>
      </w:pPr>
      <w:r>
        <w:t xml:space="preserve">Anexo A: Detalle de puntajes por capacidad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pct" w:w="40%"/>
            <w:shd w:fill="2e74b5" w:val="clear"/>
            <w:vAlign w:val="center"/>
          </w:tcPr>
          <w:p>
            <w:r>
              <w:t xml:space="preserve">Componente</w:t>
            </w:r>
          </w:p>
        </w:tc>
        <w:tc>
          <w:tcPr>
            <w:tcW w:type="pct" w:w="30%"/>
            <w:shd w:fill="2e74b5" w:val="clear"/>
            <w:vAlign w:val="center"/>
          </w:tcPr>
          <w:p>
            <w:r>
              <w:t xml:space="preserve">Capacidad</w:t>
            </w:r>
          </w:p>
        </w:tc>
        <w:tc>
          <w:tcPr>
            <w:tcW w:type="pct" w:w="30%"/>
            <w:shd w:fill="2e74b5" w:val="clear"/>
            <w:vAlign w:val="center"/>
          </w:tcPr>
          <w:p>
            <w:r>
              <w:t xml:space="preserve">Puntaje</w:t>
            </w:r>
          </w:p>
        </w:tc>
      </w:tr>
      <w:tr>
        <w:tc>
          <w:tcPr>
            <w:tcW w:type="pct" w:w="40%"/>
            <w:shd w:fill="F2F2F2" w:val="clear"/>
          </w:tcPr>
          <w:p>
            <w:r>
              <w:t xml:space="preserve">C1</w:t>
            </w:r>
          </w:p>
        </w:tc>
        <w:tc>
          <w:tcPr>
            <w:tcW w:type="pct" w:w="30%"/>
            <w:shd w:fill="F2F2F2" w:val="clear"/>
          </w:tcPr>
          <w:p>
            <w:r>
              <w:t xml:space="preserve">Visión y objetivos de datos</w:t>
            </w:r>
          </w:p>
        </w:tc>
        <w:tc>
          <w:tcPr>
            <w:tcW w:type="pct" w:w="30%"/>
            <w:shd w:fill="F2F2F2" w:val="clear"/>
          </w:tcPr>
          <w:p>
            <w:r>
              <w:t xml:space="preserve">4</w:t>
            </w:r>
          </w:p>
        </w:tc>
      </w:tr>
      <w:tr>
        <w:tc>
          <w:tcPr>
            <w:tcW w:type="pct" w:w="40%"/>
            <w:shd w:fill="FFFFFF" w:val="clear"/>
          </w:tcPr>
          <w:p>
            <w:r>
              <w:t xml:space="preserve">C1</w:t>
            </w:r>
          </w:p>
        </w:tc>
        <w:tc>
          <w:tcPr>
            <w:tcW w:type="pct" w:w="30%"/>
            <w:shd w:fill="FFFFFF" w:val="clear"/>
          </w:tcPr>
          <w:p>
            <w:r>
              <w:t xml:space="preserve">Hoja de ruta del programa</w:t>
            </w:r>
          </w:p>
        </w:tc>
        <w:tc>
          <w:tcPr>
            <w:tcW w:type="pct" w:w="30%"/>
            <w:shd w:fill="FFFFFF" w:val="clear"/>
          </w:tcPr>
          <w:p>
            <w:r>
              <w:t xml:space="preserve">4</w:t>
            </w:r>
          </w:p>
        </w:tc>
      </w:tr>
      <w:tr>
        <w:tc>
          <w:tcPr>
            <w:tcW w:type="pct" w:w="40%"/>
            <w:shd w:fill="F2F2F2" w:val="clear"/>
          </w:tcPr>
          <w:p>
            <w:r>
              <w:t xml:space="preserve">C1</w:t>
            </w:r>
          </w:p>
        </w:tc>
        <w:tc>
          <w:tcPr>
            <w:tcW w:type="pct" w:w="30%"/>
            <w:shd w:fill="F2F2F2" w:val="clear"/>
          </w:tcPr>
          <w:p>
            <w:r>
              <w:t xml:space="preserve">Métricas de valor del dato</w:t>
            </w:r>
          </w:p>
        </w:tc>
        <w:tc>
          <w:tcPr>
            <w:tcW w:type="pct" w:w="30%"/>
            <w:shd w:fill="F2F2F2" w:val="clear"/>
          </w:tcPr>
          <w:p>
            <w:r>
              <w:t xml:space="preserve">5</w:t>
            </w:r>
          </w:p>
        </w:tc>
      </w:tr>
      <w:tr>
        <w:tc>
          <w:tcPr>
            <w:tcW w:type="pct" w:w="40%"/>
            <w:shd w:fill="FFFFFF" w:val="clear"/>
          </w:tcPr>
          <w:p>
            <w:r>
              <w:t xml:space="preserve">C2</w:t>
            </w:r>
          </w:p>
        </w:tc>
        <w:tc>
          <w:tcPr>
            <w:tcW w:type="pct" w:w="30%"/>
            <w:shd w:fill="FFFFFF" w:val="clear"/>
          </w:tcPr>
          <w:p>
            <w:r>
              <w:t xml:space="preserve">Caso de negocio del programa</w:t>
            </w:r>
          </w:p>
        </w:tc>
        <w:tc>
          <w:tcPr>
            <w:tcW w:type="pct" w:w="30%"/>
            <w:shd w:fill="FFFFFF" w:val="clear"/>
          </w:tcPr>
          <w:p>
            <w:r>
              <w:t xml:space="preserve">1</w:t>
            </w:r>
          </w:p>
        </w:tc>
      </w:tr>
      <w:tr>
        <w:tc>
          <w:tcPr>
            <w:tcW w:type="pct" w:w="40%"/>
            <w:shd w:fill="F2F2F2" w:val="clear"/>
          </w:tcPr>
          <w:p>
            <w:r>
              <w:t xml:space="preserve">C2</w:t>
            </w:r>
          </w:p>
        </w:tc>
        <w:tc>
          <w:tcPr>
            <w:tcW w:type="pct" w:w="30%"/>
            <w:shd w:fill="F2F2F2" w:val="clear"/>
          </w:tcPr>
          <w:p>
            <w:r>
              <w:t xml:space="preserve">Estructura del programa</w:t>
            </w:r>
          </w:p>
        </w:tc>
        <w:tc>
          <w:tcPr>
            <w:tcW w:type="pct" w:w="30%"/>
            <w:shd w:fill="F2F2F2" w:val="clear"/>
          </w:tcPr>
          <w:p>
            <w:r>
              <w:t xml:space="preserve">5</w:t>
            </w:r>
          </w:p>
        </w:tc>
      </w:tr>
      <w:tr>
        <w:tc>
          <w:tcPr>
            <w:tcW w:type="pct" w:w="40%"/>
            <w:shd w:fill="FFFFFF" w:val="clear"/>
          </w:tcPr>
          <w:p>
            <w:r>
              <w:t xml:space="preserve">C2</w:t>
            </w:r>
          </w:p>
        </w:tc>
        <w:tc>
          <w:tcPr>
            <w:tcW w:type="pct" w:w="30%"/>
            <w:shd w:fill="FFFFFF" w:val="clear"/>
          </w:tcPr>
          <w:p>
            <w:r>
              <w:t xml:space="preserve">Financiamiento sostenible</w:t>
            </w:r>
          </w:p>
        </w:tc>
        <w:tc>
          <w:tcPr>
            <w:tcW w:type="pct" w:w="30%"/>
            <w:shd w:fill="FFFFFF" w:val="clear"/>
          </w:tcPr>
          <w:p>
            <w:r>
              <w:t xml:space="preserve">1</w:t>
            </w:r>
          </w:p>
        </w:tc>
      </w:tr>
      <w:tr>
        <w:tc>
          <w:tcPr>
            <w:tcW w:type="pct" w:w="40%"/>
            <w:shd w:fill="F2F2F2" w:val="clear"/>
          </w:tcPr>
          <w:p>
            <w:r>
              <w:t xml:space="preserve">C3</w:t>
            </w:r>
          </w:p>
        </w:tc>
        <w:tc>
          <w:tcPr>
            <w:tcW w:type="pct" w:w="30%"/>
            <w:shd w:fill="F2F2F2" w:val="clear"/>
          </w:tcPr>
          <w:p>
            <w:r>
              <w:t xml:space="preserve">Políticas y estándares</w:t>
            </w:r>
          </w:p>
        </w:tc>
        <w:tc>
          <w:tcPr>
            <w:tcW w:type="pct" w:w="30%"/>
            <w:shd w:fill="F2F2F2" w:val="clear"/>
          </w:tcPr>
          <w:p>
            <w:r>
              <w:t xml:space="preserve">2</w:t>
            </w:r>
          </w:p>
        </w:tc>
      </w:tr>
      <w:tr>
        <w:tc>
          <w:tcPr>
            <w:tcW w:type="pct" w:w="40%"/>
            <w:shd w:fill="FFFFFF" w:val="clear"/>
          </w:tcPr>
          <w:p>
            <w:r>
              <w:t xml:space="preserve">C3</w:t>
            </w:r>
          </w:p>
        </w:tc>
        <w:tc>
          <w:tcPr>
            <w:tcW w:type="pct" w:w="30%"/>
            <w:shd w:fill="FFFFFF" w:val="clear"/>
          </w:tcPr>
          <w:p>
            <w:r>
              <w:t xml:space="preserve">Roles de gobernanza</w:t>
            </w:r>
          </w:p>
        </w:tc>
        <w:tc>
          <w:tcPr>
            <w:tcW w:type="pct" w:w="30%"/>
            <w:shd w:fill="FFFFFF" w:val="clear"/>
          </w:tcPr>
          <w:p>
            <w:r>
              <w:t xml:space="preserve">2</w:t>
            </w:r>
          </w:p>
        </w:tc>
      </w:tr>
      <w:tr>
        <w:tc>
          <w:tcPr>
            <w:tcW w:type="pct" w:w="40%"/>
            <w:shd w:fill="F2F2F2" w:val="clear"/>
          </w:tcPr>
          <w:p>
            <w:r>
              <w:t xml:space="preserve">C3</w:t>
            </w:r>
          </w:p>
        </w:tc>
        <w:tc>
          <w:tcPr>
            <w:tcW w:type="pct" w:w="30%"/>
            <w:shd w:fill="F2F2F2" w:val="clear"/>
          </w:tcPr>
          <w:p>
            <w:r>
              <w:t xml:space="preserve">Glosario y definiciones</w:t>
            </w:r>
          </w:p>
        </w:tc>
        <w:tc>
          <w:tcPr>
            <w:tcW w:type="pct" w:w="30%"/>
            <w:shd w:fill="F2F2F2" w:val="clear"/>
          </w:tcPr>
          <w:p>
            <w:r>
              <w:t xml:space="preserve">2</w:t>
            </w:r>
          </w:p>
        </w:tc>
      </w:tr>
      <w:tr>
        <w:tc>
          <w:tcPr>
            <w:tcW w:type="pct" w:w="40%"/>
            <w:shd w:fill="FFFFFF" w:val="clear"/>
          </w:tcPr>
          <w:p>
            <w:r>
              <w:t xml:space="preserve">C3</w:t>
            </w:r>
          </w:p>
        </w:tc>
        <w:tc>
          <w:tcPr>
            <w:tcW w:type="pct" w:w="30%"/>
            <w:shd w:fill="FFFFFF" w:val="clear"/>
          </w:tcPr>
          <w:p>
            <w:r>
              <w:t xml:space="preserve">Comité de gobernanza</w:t>
            </w:r>
          </w:p>
        </w:tc>
        <w:tc>
          <w:tcPr>
            <w:tcW w:type="pct" w:w="30%"/>
            <w:shd w:fill="FFFFFF" w:val="clear"/>
          </w:tcPr>
          <w:p>
            <w:r>
              <w:t xml:space="preserve">1</w:t>
            </w:r>
          </w:p>
        </w:tc>
      </w:tr>
      <w:tr>
        <w:tc>
          <w:tcPr>
            <w:tcW w:type="pct" w:w="40%"/>
            <w:shd w:fill="F2F2F2" w:val="clear"/>
          </w:tcPr>
          <w:p>
            <w:r>
              <w:t xml:space="preserve">C4</w:t>
            </w:r>
          </w:p>
        </w:tc>
        <w:tc>
          <w:tcPr>
            <w:tcW w:type="pct" w:w="30%"/>
            <w:shd w:fill="F2F2F2" w:val="clear"/>
          </w:tcPr>
          <w:p>
            <w:r>
              <w:t xml:space="preserve">Modelo de datos del negocio</w:t>
            </w:r>
          </w:p>
        </w:tc>
        <w:tc>
          <w:tcPr>
            <w:tcW w:type="pct" w:w="30%"/>
            <w:shd w:fill="F2F2F2" w:val="clear"/>
          </w:tcPr>
          <w:p>
            <w:r>
              <w:t xml:space="preserve">2</w:t>
            </w:r>
          </w:p>
        </w:tc>
      </w:tr>
      <w:tr>
        <w:tc>
          <w:tcPr>
            <w:tcW w:type="pct" w:w="40%"/>
            <w:shd w:fill="FFFFFF" w:val="clear"/>
          </w:tcPr>
          <w:p>
            <w:r>
              <w:t xml:space="preserve">C4</w:t>
            </w:r>
          </w:p>
        </w:tc>
        <w:tc>
          <w:tcPr>
            <w:tcW w:type="pct" w:w="30%"/>
            <w:shd w:fill="FFFFFF" w:val="clear"/>
          </w:tcPr>
          <w:p>
            <w:r>
              <w:t xml:space="preserve">Mapa de flujos de datos</w:t>
            </w:r>
          </w:p>
        </w:tc>
        <w:tc>
          <w:tcPr>
            <w:tcW w:type="pct" w:w="30%"/>
            <w:shd w:fill="FFFFFF" w:val="clear"/>
          </w:tcPr>
          <w:p>
            <w:r>
              <w:t xml:space="preserve">3</w:t>
            </w:r>
          </w:p>
        </w:tc>
      </w:tr>
      <w:tr>
        <w:tc>
          <w:tcPr>
            <w:tcW w:type="pct" w:w="40%"/>
            <w:shd w:fill="F2F2F2" w:val="clear"/>
          </w:tcPr>
          <w:p>
            <w:r>
              <w:t xml:space="preserve">C4</w:t>
            </w:r>
          </w:p>
        </w:tc>
        <w:tc>
          <w:tcPr>
            <w:tcW w:type="pct" w:w="30%"/>
            <w:shd w:fill="F2F2F2" w:val="clear"/>
          </w:tcPr>
          <w:p>
            <w:r>
              <w:t xml:space="preserve">Gestión de datos maestros</w:t>
            </w:r>
          </w:p>
        </w:tc>
        <w:tc>
          <w:tcPr>
            <w:tcW w:type="pct" w:w="30%"/>
            <w:shd w:fill="F2F2F2" w:val="clear"/>
          </w:tcPr>
          <w:p>
            <w:r>
              <w:t xml:space="preserve">1</w:t>
            </w:r>
          </w:p>
        </w:tc>
      </w:tr>
      <w:tr>
        <w:tc>
          <w:tcPr>
            <w:tcW w:type="pct" w:w="40%"/>
            <w:shd w:fill="FFFFFF" w:val="clear"/>
          </w:tcPr>
          <w:p>
            <w:r>
              <w:t xml:space="preserve">C5</w:t>
            </w:r>
          </w:p>
        </w:tc>
        <w:tc>
          <w:tcPr>
            <w:tcW w:type="pct" w:w="30%"/>
            <w:shd w:fill="FFFFFF" w:val="clear"/>
          </w:tcPr>
          <w:p>
            <w:r>
              <w:t xml:space="preserve">Reglas y validaciones de calidad</w:t>
            </w:r>
          </w:p>
        </w:tc>
        <w:tc>
          <w:tcPr>
            <w:tcW w:type="pct" w:w="30%"/>
            <w:shd w:fill="FFFFFF" w:val="clear"/>
          </w:tcPr>
          <w:p>
            <w:r>
              <w:t xml:space="preserve">5</w:t>
            </w:r>
          </w:p>
        </w:tc>
      </w:tr>
      <w:tr>
        <w:tc>
          <w:tcPr>
            <w:tcW w:type="pct" w:w="40%"/>
            <w:shd w:fill="F2F2F2" w:val="clear"/>
          </w:tcPr>
          <w:p>
            <w:r>
              <w:t xml:space="preserve">C5</w:t>
            </w:r>
          </w:p>
        </w:tc>
        <w:tc>
          <w:tcPr>
            <w:tcW w:type="pct" w:w="30%"/>
            <w:shd w:fill="F2F2F2" w:val="clear"/>
          </w:tcPr>
          <w:p>
            <w:r>
              <w:t xml:space="preserve">Medición y monitoreo de calidad</w:t>
            </w:r>
          </w:p>
        </w:tc>
        <w:tc>
          <w:tcPr>
            <w:tcW w:type="pct" w:w="30%"/>
            <w:shd w:fill="F2F2F2" w:val="clear"/>
          </w:tcPr>
          <w:p>
            <w:r>
              <w:t xml:space="preserve">1</w:t>
            </w:r>
          </w:p>
        </w:tc>
      </w:tr>
      <w:tr>
        <w:tc>
          <w:tcPr>
            <w:tcW w:type="pct" w:w="40%"/>
            <w:shd w:fill="FFFFFF" w:val="clear"/>
          </w:tcPr>
          <w:p>
            <w:r>
              <w:t xml:space="preserve">C5</w:t>
            </w:r>
          </w:p>
        </w:tc>
        <w:tc>
          <w:tcPr>
            <w:tcW w:type="pct" w:w="30%"/>
            <w:shd w:fill="FFFFFF" w:val="clear"/>
          </w:tcPr>
          <w:p>
            <w:r>
              <w:t xml:space="preserve">Proceso de corrección de errores</w:t>
            </w:r>
          </w:p>
        </w:tc>
        <w:tc>
          <w:tcPr>
            <w:tcW w:type="pct" w:w="30%"/>
            <w:shd w:fill="FFFFFF" w:val="clear"/>
          </w:tcPr>
          <w:p>
            <w:r>
              <w:t xml:space="preserve">1</w:t>
            </w:r>
          </w:p>
        </w:tc>
      </w:tr>
      <w:tr>
        <w:tc>
          <w:tcPr>
            <w:tcW w:type="pct" w:w="40%"/>
            <w:shd w:fill="F2F2F2" w:val="clear"/>
          </w:tcPr>
          <w:p>
            <w:r>
              <w:t xml:space="preserve">C5</w:t>
            </w:r>
          </w:p>
        </w:tc>
        <w:tc>
          <w:tcPr>
            <w:tcW w:type="pct" w:w="30%"/>
            <w:shd w:fill="F2F2F2" w:val="clear"/>
          </w:tcPr>
          <w:p>
            <w:r>
              <w:t xml:space="preserve">Perfilado y análisis de datos</w:t>
            </w:r>
          </w:p>
        </w:tc>
        <w:tc>
          <w:tcPr>
            <w:tcW w:type="pct" w:w="30%"/>
            <w:shd w:fill="F2F2F2" w:val="clear"/>
          </w:tcPr>
          <w:p>
            <w:r>
              <w:t xml:space="preserve">1</w:t>
            </w:r>
          </w:p>
        </w:tc>
      </w:tr>
      <w:tr>
        <w:tc>
          <w:tcPr>
            <w:tcW w:type="pct" w:w="40%"/>
            <w:shd w:fill="FFFFFF" w:val="clear"/>
          </w:tcPr>
          <w:p>
            <w:r>
              <w:t xml:space="preserve">C6</w:t>
            </w:r>
          </w:p>
        </w:tc>
        <w:tc>
          <w:tcPr>
            <w:tcW w:type="pct" w:w="30%"/>
            <w:shd w:fill="FFFFFF" w:val="clear"/>
          </w:tcPr>
          <w:p>
            <w:r>
              <w:t xml:space="preserve">Clasificación y seguridad</w:t>
            </w:r>
          </w:p>
        </w:tc>
        <w:tc>
          <w:tcPr>
            <w:tcW w:type="pct" w:w="30%"/>
            <w:shd w:fill="FFFFFF" w:val="clear"/>
          </w:tcPr>
          <w:p>
            <w:r>
              <w:t xml:space="preserve">1</w:t>
            </w:r>
          </w:p>
        </w:tc>
      </w:tr>
      <w:tr>
        <w:tc>
          <w:tcPr>
            <w:tcW w:type="pct" w:w="40%"/>
            <w:shd w:fill="F2F2F2" w:val="clear"/>
          </w:tcPr>
          <w:p>
            <w:r>
              <w:t xml:space="preserve">C6</w:t>
            </w:r>
          </w:p>
        </w:tc>
        <w:tc>
          <w:tcPr>
            <w:tcW w:type="pct" w:w="30%"/>
            <w:shd w:fill="F2F2F2" w:val="clear"/>
          </w:tcPr>
          <w:p>
            <w:r>
              <w:t xml:space="preserve">Control de acceso y perfiles</w:t>
            </w:r>
          </w:p>
        </w:tc>
        <w:tc>
          <w:tcPr>
            <w:tcW w:type="pct" w:w="30%"/>
            <w:shd w:fill="F2F2F2" w:val="clear"/>
          </w:tcPr>
          <w:p>
            <w:r>
              <w:t xml:space="preserve">2</w:t>
            </w:r>
          </w:p>
        </w:tc>
      </w:tr>
      <w:tr>
        <w:tc>
          <w:tcPr>
            <w:tcW w:type="pct" w:w="40%"/>
            <w:shd w:fill="FFFFFF" w:val="clear"/>
          </w:tcPr>
          <w:p>
            <w:r>
              <w:t xml:space="preserve">C6</w:t>
            </w:r>
          </w:p>
        </w:tc>
        <w:tc>
          <w:tcPr>
            <w:tcW w:type="pct" w:w="30%"/>
            <w:shd w:fill="FFFFFF" w:val="clear"/>
          </w:tcPr>
          <w:p>
            <w:r>
              <w:t xml:space="preserve">Cumplimiento normativo</w:t>
            </w:r>
          </w:p>
        </w:tc>
        <w:tc>
          <w:tcPr>
            <w:tcW w:type="pct" w:w="30%"/>
            <w:shd w:fill="FFFFFF" w:val="clear"/>
          </w:tcPr>
          <w:p>
            <w:r>
              <w:t xml:space="preserve">1</w:t>
            </w:r>
          </w:p>
        </w:tc>
      </w:tr>
      <w:tr>
        <w:tc>
          <w:tcPr>
            <w:tcW w:type="pct" w:w="40%"/>
            <w:shd w:fill="F2F2F2" w:val="clear"/>
          </w:tcPr>
          <w:p>
            <w:r>
              <w:t xml:space="preserve">C6</w:t>
            </w:r>
          </w:p>
        </w:tc>
        <w:tc>
          <w:tcPr>
            <w:tcW w:type="pct" w:w="30%"/>
            <w:shd w:fill="F2F2F2" w:val="clear"/>
          </w:tcPr>
          <w:p>
            <w:r>
              <w:t xml:space="preserve">Gestión de incidentes</w:t>
            </w:r>
          </w:p>
        </w:tc>
        <w:tc>
          <w:tcPr>
            <w:tcW w:type="pct" w:w="30%"/>
            <w:shd w:fill="F2F2F2" w:val="clear"/>
          </w:tcPr>
          <w:p>
            <w:r>
              <w:t xml:space="preserve">1</w:t>
            </w:r>
          </w:p>
        </w:tc>
      </w:tr>
      <w:tr>
        <w:tc>
          <w:tcPr>
            <w:tcW w:type="pct" w:w="40%"/>
            <w:shd w:fill="FFFFFF" w:val="clear"/>
          </w:tcPr>
          <w:p>
            <w:r>
              <w:t xml:space="preserve">C7</w:t>
            </w:r>
          </w:p>
        </w:tc>
        <w:tc>
          <w:tcPr>
            <w:tcW w:type="pct" w:w="30%"/>
            <w:shd w:fill="FFFFFF" w:val="clear"/>
          </w:tcPr>
          <w:p>
            <w:r>
              <w:t xml:space="preserve">Diccionario de datos</w:t>
            </w:r>
          </w:p>
        </w:tc>
        <w:tc>
          <w:tcPr>
            <w:tcW w:type="pct" w:w="30%"/>
            <w:shd w:fill="FFFFFF" w:val="clear"/>
          </w:tcPr>
          <w:p>
            <w:r>
              <w:t xml:space="preserve">1</w:t>
            </w:r>
          </w:p>
        </w:tc>
      </w:tr>
      <w:tr>
        <w:tc>
          <w:tcPr>
            <w:tcW w:type="pct" w:w="40%"/>
            <w:shd w:fill="F2F2F2" w:val="clear"/>
          </w:tcPr>
          <w:p>
            <w:r>
              <w:t xml:space="preserve">C7</w:t>
            </w:r>
          </w:p>
        </w:tc>
        <w:tc>
          <w:tcPr>
            <w:tcW w:type="pct" w:w="30%"/>
            <w:shd w:fill="F2F2F2" w:val="clear"/>
          </w:tcPr>
          <w:p>
            <w:r>
              <w:t xml:space="preserve">Linaje de datos</w:t>
            </w:r>
          </w:p>
        </w:tc>
        <w:tc>
          <w:tcPr>
            <w:tcW w:type="pct" w:w="30%"/>
            <w:shd w:fill="F2F2F2" w:val="clear"/>
          </w:tcPr>
          <w:p>
            <w:r>
              <w:t xml:space="preserve">1</w:t>
            </w:r>
          </w:p>
        </w:tc>
      </w:tr>
      <w:tr>
        <w:tc>
          <w:tcPr>
            <w:tcW w:type="pct" w:w="40%"/>
            <w:shd w:fill="FFFFFF" w:val="clear"/>
          </w:tcPr>
          <w:p>
            <w:r>
              <w:t xml:space="preserve">C7</w:t>
            </w:r>
          </w:p>
        </w:tc>
        <w:tc>
          <w:tcPr>
            <w:tcW w:type="pct" w:w="30%"/>
            <w:shd w:fill="FFFFFF" w:val="clear"/>
          </w:tcPr>
          <w:p>
            <w:r>
              <w:t xml:space="preserve">Gestión centralizada de metadatos</w:t>
            </w:r>
          </w:p>
        </w:tc>
        <w:tc>
          <w:tcPr>
            <w:tcW w:type="pct" w:w="30%"/>
            <w:shd w:fill="FFFFFF" w:val="clear"/>
          </w:tcPr>
          <w:p>
            <w:r>
              <w:t xml:space="preserve">1</w:t>
            </w:r>
          </w:p>
        </w:tc>
      </w:tr>
      <w:tr>
        <w:tc>
          <w:tcPr>
            <w:tcW w:type="pct" w:w="40%"/>
            <w:shd w:fill="F2F2F2" w:val="clear"/>
          </w:tcPr>
          <w:p>
            <w:r>
              <w:t xml:space="preserve">C8</w:t>
            </w:r>
          </w:p>
        </w:tc>
        <w:tc>
          <w:tcPr>
            <w:tcW w:type="pct" w:w="30%"/>
            <w:shd w:fill="F2F2F2" w:val="clear"/>
          </w:tcPr>
          <w:p>
            <w:r>
              <w:t xml:space="preserve">Reportes y dashboards operativos</w:t>
            </w:r>
          </w:p>
        </w:tc>
        <w:tc>
          <w:tcPr>
            <w:tcW w:type="pct" w:w="30%"/>
            <w:shd w:fill="F2F2F2" w:val="clear"/>
          </w:tcPr>
          <w:p>
            <w:r>
              <w:t xml:space="preserve">4</w:t>
            </w:r>
          </w:p>
        </w:tc>
      </w:tr>
      <w:tr>
        <w:tc>
          <w:tcPr>
            <w:tcW w:type="pct" w:w="40%"/>
            <w:shd w:fill="FFFFFF" w:val="clear"/>
          </w:tcPr>
          <w:p>
            <w:r>
              <w:t xml:space="preserve">C8</w:t>
            </w:r>
          </w:p>
        </w:tc>
        <w:tc>
          <w:tcPr>
            <w:tcW w:type="pct" w:w="30%"/>
            <w:shd w:fill="FFFFFF" w:val="clear"/>
          </w:tcPr>
          <w:p>
            <w:r>
              <w:t xml:space="preserve">Análisis histórico y tendencias</w:t>
            </w:r>
          </w:p>
        </w:tc>
        <w:tc>
          <w:tcPr>
            <w:tcW w:type="pct" w:w="30%"/>
            <w:shd w:fill="FFFFFF" w:val="clear"/>
          </w:tcPr>
          <w:p>
            <w:r>
              <w:t xml:space="preserve">2</w:t>
            </w:r>
          </w:p>
        </w:tc>
      </w:tr>
      <w:tr>
        <w:tc>
          <w:tcPr>
            <w:tcW w:type="pct" w:w="40%"/>
            <w:shd w:fill="F2F2F2" w:val="clear"/>
          </w:tcPr>
          <w:p>
            <w:r>
              <w:t xml:space="preserve">C8</w:t>
            </w:r>
          </w:p>
        </w:tc>
        <w:tc>
          <w:tcPr>
            <w:tcW w:type="pct" w:w="30%"/>
            <w:shd w:fill="F2F2F2" w:val="clear"/>
          </w:tcPr>
          <w:p>
            <w:r>
              <w:t xml:space="preserve">Gobierno del ciclo analítico</w:t>
            </w:r>
          </w:p>
        </w:tc>
        <w:tc>
          <w:tcPr>
            <w:tcW w:type="pct" w:w="30%"/>
            <w:shd w:fill="F2F2F2" w:val="clear"/>
          </w:tcPr>
          <w:p>
            <w:r>
              <w:t xml:space="preserve">3</w:t>
            </w:r>
          </w:p>
        </w:tc>
      </w:tr>
    </w:tbl>
    <w:p>
      <w:pPr>
        <w:spacing w:line="240"/>
      </w:pPr>
    </w:p>
    <w:p>
      <w:pPr>
        <w:pStyle w:val="Heading2"/>
        <w:pStyle w:val="Heading2"/>
      </w:pPr>
      <w:r>
        <w:t xml:space="preserve">Anexo B: Escala de maturez DCAM utilizada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W w:type="pct" w:w="15%"/>
            <w:shd w:fill="2e74b5" w:val="clear"/>
            <w:vAlign w:val="center"/>
          </w:tcPr>
          <w:p>
            <w:r>
              <w:t xml:space="preserve">Nivel</w:t>
            </w:r>
          </w:p>
        </w:tc>
        <w:tc>
          <w:tcPr>
            <w:tcW w:type="pct" w:w="25%"/>
            <w:shd w:fill="2e74b5" w:val="clear"/>
            <w:vAlign w:val="center"/>
          </w:tcPr>
          <w:p>
            <w:r>
              <w:t xml:space="preserve">Denominación</w:t>
            </w:r>
          </w:p>
        </w:tc>
        <w:tc>
          <w:tcPr>
            <w:tcW w:type="pct" w:w="60%"/>
            <w:shd w:fill="2e74b5" w:val="clear"/>
            <w:vAlign w:val="center"/>
          </w:tcPr>
          <w:p>
            <w:r>
              <w:t xml:space="preserve">Descripción</w:t>
            </w:r>
          </w:p>
        </w:tc>
      </w:tr>
      <w:tr>
        <w:tc>
          <w:tcPr>
            <w:tcW w:type="pct" w:w="15%"/>
          </w:tcPr>
          <w:p>
            <w:r>
              <w:t xml:space="preserve">1</w:t>
            </w:r>
          </w:p>
        </w:tc>
        <w:tc>
          <w:tcPr>
            <w:tcW w:type="pct" w:w="25%"/>
          </w:tcPr>
          <w:p>
            <w:r>
              <w:t xml:space="preserve">No iniciado</w:t>
            </w:r>
          </w:p>
        </w:tc>
        <w:tc>
          <w:tcPr>
            <w:tcW w:type="pct" w:w="60%"/>
          </w:tcPr>
          <w:p>
            <w:r>
              <w:t xml:space="preserve">Las capacidades no existen o son completamente ad hoc.</w:t>
            </w:r>
          </w:p>
        </w:tc>
      </w:tr>
      <w:tr>
        <w:tc>
          <w:tcPr>
            <w:tcW w:type="pct" w:w="15%"/>
          </w:tcPr>
          <w:p>
            <w:r>
              <w:t xml:space="preserve">2</w:t>
            </w:r>
          </w:p>
        </w:tc>
        <w:tc>
          <w:tcPr>
            <w:tcW w:type="pct" w:w="25%"/>
          </w:tcPr>
          <w:p>
            <w:r>
              <w:t xml:space="preserve">Conceptual</w:t>
            </w:r>
          </w:p>
        </w:tc>
        <w:tc>
          <w:tcPr>
            <w:tcW w:type="pct" w:w="60%"/>
          </w:tcPr>
          <w:p>
            <w:r>
              <w:t xml:space="preserve">Existe conciencia del tema y conversaciones iniciales.</w:t>
            </w:r>
          </w:p>
        </w:tc>
      </w:tr>
      <w:tr>
        <w:tc>
          <w:tcPr>
            <w:tcW w:type="pct" w:w="15%"/>
          </w:tcPr>
          <w:p>
            <w:r>
              <w:t xml:space="preserve">3</w:t>
            </w:r>
          </w:p>
        </w:tc>
        <w:tc>
          <w:tcPr>
            <w:tcW w:type="pct" w:w="25%"/>
          </w:tcPr>
          <w:p>
            <w:r>
              <w:t xml:space="preserve">En desarrollo</w:t>
            </w:r>
          </w:p>
        </w:tc>
        <w:tc>
          <w:tcPr>
            <w:tcW w:type="pct" w:w="60%"/>
          </w:tcPr>
          <w:p>
            <w:r>
              <w:t xml:space="preserve">Responsables identificados, financiamiento inicial, procedimientos en construcción.</w:t>
            </w:r>
          </w:p>
        </w:tc>
      </w:tr>
      <w:tr>
        <w:tc>
          <w:tcPr>
            <w:tcW w:type="pct" w:w="15%"/>
          </w:tcPr>
          <w:p>
            <w:r>
              <w:t xml:space="preserve">4</w:t>
            </w:r>
          </w:p>
        </w:tc>
        <w:tc>
          <w:tcPr>
            <w:tcW w:type="pct" w:w="25%"/>
          </w:tcPr>
          <w:p>
            <w:r>
              <w:t xml:space="preserve">Definido</w:t>
            </w:r>
          </w:p>
        </w:tc>
        <w:tc>
          <w:tcPr>
            <w:tcW w:type="pct" w:w="60%"/>
          </w:tcPr>
          <w:p>
            <w:r>
              <w:t xml:space="preserve">Procesos documentados, roles asignados, políticas aprobadas.</w:t>
            </w:r>
          </w:p>
        </w:tc>
      </w:tr>
      <w:tr>
        <w:tc>
          <w:tcPr>
            <w:tcW w:type="pct" w:w="15%"/>
          </w:tcPr>
          <w:p>
            <w:r>
              <w:t xml:space="preserve">5</w:t>
            </w:r>
          </w:p>
        </w:tc>
        <w:tc>
          <w:tcPr>
            <w:tcW w:type="pct" w:w="25%"/>
          </w:tcPr>
          <w:p>
            <w:r>
              <w:t xml:space="preserve">Logrado</w:t>
            </w:r>
          </w:p>
        </w:tc>
        <w:tc>
          <w:tcPr>
            <w:tcW w:type="pct" w:w="60%"/>
          </w:tcPr>
          <w:p>
            <w:r>
              <w:t xml:space="preserve">Capacidad operativa, medición con KPIs, mejora continua.</w:t>
            </w:r>
          </w:p>
        </w:tc>
      </w:tr>
      <w:tr>
        <w:tc>
          <w:tcPr>
            <w:tcW w:type="pct" w:w="15%"/>
          </w:tcPr>
          <w:p>
            <w:r>
              <w:t xml:space="preserve">6</w:t>
            </w:r>
          </w:p>
        </w:tc>
        <w:tc>
          <w:tcPr>
            <w:tcW w:type="pct" w:w="25%"/>
          </w:tcPr>
          <w:p>
            <w:r>
              <w:t xml:space="preserve">Mejorado</w:t>
            </w:r>
          </w:p>
        </w:tc>
        <w:tc>
          <w:tcPr>
            <w:tcW w:type="pct" w:w="60%"/>
          </w:tcPr>
          <w:p>
            <w:r>
              <w:t xml:space="preserve">Integrada en la cultura, benchmarking con la industria.</w:t>
            </w:r>
          </w:p>
        </w:tc>
      </w:tr>
    </w:tbl>
    <w:p>
      <w:pPr>
        <w:spacing w:line="240"/>
      </w:pPr>
    </w:p>
    <w:p>
      <w:pPr>
        <w:pStyle w:val="Heading2"/>
        <w:pStyle w:val="Heading2"/>
      </w:pPr>
      <w:r>
        <w:t xml:space="preserve">Anexo C: Glosario de términos clave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W w:type="pct" w:w="25%"/>
            <w:shd w:fill="2e74b5" w:val="clear"/>
            <w:vAlign w:val="center"/>
          </w:tcPr>
          <w:p>
            <w:r>
              <w:t xml:space="preserve">Término</w:t>
            </w:r>
          </w:p>
        </w:tc>
        <w:tc>
          <w:tcPr>
            <w:tcW w:type="pct" w:w="75%"/>
            <w:shd w:fill="2e74b5" w:val="clear"/>
            <w:vAlign w:val="center"/>
          </w:tcPr>
          <w:p>
            <w:r>
              <w:t xml:space="preserve">Definición</w:t>
            </w:r>
          </w:p>
        </w:tc>
      </w:tr>
      <w:tr>
        <w:tc>
          <w:tcPr>
            <w:tcW w:type="pct" w:w="25%"/>
          </w:tcPr>
          <w:p>
            <w:r>
              <w:t xml:space="preserve">DCAM</w:t>
            </w:r>
          </w:p>
        </w:tc>
        <w:tc>
          <w:tcPr>
            <w:tcW w:type="pct" w:w="75%"/>
          </w:tcPr>
          <w:p>
            <w:r>
              <w:t xml:space="preserve">Data Management Capability Assessment Model, modelo de evaluación de madurez en gestión de datos del EDM Council.</w:t>
            </w:r>
          </w:p>
        </w:tc>
      </w:tr>
      <w:tr>
        <w:tc>
          <w:tcPr>
            <w:tcW w:type="pct" w:w="25%"/>
          </w:tcPr>
          <w:p>
            <w:r>
              <w:t xml:space="preserve">Data Owner</w:t>
            </w:r>
          </w:p>
        </w:tc>
        <w:tc>
          <w:tcPr>
            <w:tcW w:type="pct" w:w="75%"/>
          </w:tcPr>
          <w:p>
            <w:r>
              <w:t xml:space="preserve">Responsable último de un conjunto de datos, con autoridad para definir políticas de acceso y calidad.</w:t>
            </w:r>
          </w:p>
        </w:tc>
      </w:tr>
      <w:tr>
        <w:tc>
          <w:tcPr>
            <w:tcW w:type="pct" w:w="25%"/>
          </w:tcPr>
          <w:p>
            <w:r>
              <w:t xml:space="preserve">Data Steward</w:t>
            </w:r>
          </w:p>
        </w:tc>
        <w:tc>
          <w:tcPr>
            <w:tcW w:type="pct" w:w="75%"/>
          </w:tcPr>
          <w:p>
            <w:r>
              <w:t xml:space="preserve">Responsable operativo de la calidad y gestión diaria de los datos.</w:t>
            </w:r>
          </w:p>
        </w:tc>
      </w:tr>
      <w:tr>
        <w:tc>
          <w:tcPr>
            <w:tcW w:type="pct" w:w="25%"/>
          </w:tcPr>
          <w:p>
            <w:r>
              <w:t xml:space="preserve">Menú SIS</w:t>
            </w:r>
          </w:p>
        </w:tc>
        <w:tc>
          <w:tcPr>
            <w:tcW w:type="pct" w:w="75%"/>
          </w:tcPr>
          <w:p>
            <w:r>
              <w:t xml:space="preserve">Sistema central de información de Subastar, desarrollado por la casa matriz en Colombia.</w:t>
            </w:r>
          </w:p>
        </w:tc>
      </w:tr>
      <w:tr>
        <w:tc>
          <w:tcPr>
            <w:tcW w:type="pct" w:w="25%"/>
          </w:tcPr>
          <w:p>
            <w:r>
              <w:t xml:space="preserve">SIFAE</w:t>
            </w:r>
          </w:p>
        </w:tc>
        <w:tc>
          <w:tcPr>
            <w:tcW w:type="pct" w:w="75%"/>
          </w:tcPr>
          <w:p>
            <w:r>
              <w:t xml:space="preserve">Sistema de información para el control de la movilización animal en Ecuador (AGROCALIDAD).</w:t>
            </w:r>
          </w:p>
        </w:tc>
      </w:tr>
      <w:tr>
        <w:tc>
          <w:tcPr>
            <w:tcW w:type="pct" w:w="25%"/>
          </w:tcPr>
          <w:p>
            <w:r>
              <w:t xml:space="preserve">LOPDP</w:t>
            </w:r>
          </w:p>
        </w:tc>
        <w:tc>
          <w:tcPr>
            <w:tcW w:type="pct" w:w="75%"/>
          </w:tcPr>
          <w:p>
            <w:r>
              <w:t xml:space="preserve">Ley Orgánica de Protección de Datos Personales (Ecuador).</w:t>
            </w:r>
          </w:p>
        </w:tc>
      </w:tr>
      <w:tr>
        <w:tc>
          <w:tcPr>
            <w:tcW w:type="pct" w:w="25%"/>
          </w:tcPr>
          <w:p>
            <w:r>
              <w:t xml:space="preserve">SRI</w:t>
            </w:r>
          </w:p>
        </w:tc>
        <w:tc>
          <w:tcPr>
            <w:tcW w:type="pct" w:w="75%"/>
          </w:tcPr>
          <w:p>
            <w:r>
              <w:t xml:space="preserve">Servicio de Rentas Internas (Ecuador).</w:t>
            </w:r>
          </w:p>
        </w:tc>
      </w:tr>
    </w:tbl>
    <w:p>
      <w:pPr>
        <w:pBdr>
          <w:bottom w:val="single" w:color="CCCCCC" w:sz="6" w:space="1"/>
        </w:pBdr>
      </w:pPr>
    </w:p>
    <w:p>
      <w:pPr>
        <w:spacing w:after="240" w:line="240"/>
        <w:jc w:val="center"/>
      </w:pPr>
      <w:r>
        <w:t xml:space="preserve">Fin del informe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2026-07-24T04:06:52.391Z</dcterms:created>
  <dcterms:modified xsi:type="dcterms:W3CDTF">2026-07-24T04:06:52.407Z</dcterms:modified>
</cp:coreProperties>
</file>

<file path=docProps/custom.xml><?xml version="1.0" encoding="utf-8"?>
<Properties xmlns="http://schemas.openxmlformats.org/officeDocument/2006/custom-properties" xmlns:vt="http://schemas.openxmlformats.org/officeDocument/2006/docPropsVTypes"/>
</file>