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p/>
    <w:p/>
    <w:p/>
    <w:p>
      <w:pPr>
        <w:spacing w:after="120"/>
        <w:jc w:val="center"/>
      </w:pPr>
      <w:r>
        <w:rPr>
          <w:b/>
          <w:i w:val="0"/>
          <w:color w:val="595959"/>
          <w:sz w:val="24"/>
        </w:rPr>
        <w:t>ITINERARIO DE VIAJE</w:t>
      </w:r>
    </w:p>
    <w:p>
      <w:pPr>
        <w:pStyle w:val="Ttulo"/>
        <w:jc w:val="center"/>
      </w:pPr>
      <w:r>
        <w:rPr>
          <w:b w:val="0"/>
          <w:i w:val="0"/>
        </w:rPr>
        <w:t>Plan de Itinerario de Viaje</w:t>
      </w:r>
    </w:p>
    <w:p>
      <w:pPr>
        <w:pStyle w:val="Subttulo"/>
        <w:jc w:val="center"/>
      </w:pPr>
      <w:r>
        <w:rPr>
          <w:b w:val="0"/>
          <w:i w:val="0"/>
        </w:rPr>
        <w:t>Visita a Subastar Ecuador S.A.S. (Manabí) — Levantamiento de Procesos y Gobierno de Datos</w:t>
      </w:r>
    </w:p>
    <w:p/>
    <w:p/>
    <w:p/>
    <w:p/>
    <w:p/>
    <w:p/>
    <w:p/>
    <w:p/>
    <w:p/>
    <w:p>
      <w:pPr>
        <w:jc w:val="center"/>
      </w:pPr>
      <w:r>
        <w:rPr>
          <w:b/>
        </w:rPr>
        <w:t xml:space="preserve">Autor: </w:t>
      </w:r>
      <w:r>
        <w:t>Rolando Casigña | Bryan Sánchez</w:t>
      </w:r>
    </w:p>
    <w:p>
      <w:pPr>
        <w:jc w:val="center"/>
      </w:pPr>
      <w:r>
        <w:rPr>
          <w:b/>
        </w:rPr>
        <w:t xml:space="preserve">Lugar y fecha: </w:t>
      </w:r>
      <w:r>
        <w:t>Riobamba, 26 de julio de 2026</w:t>
      </w:r>
    </w:p>
    <w:p>
      <w:pPr>
        <w:jc w:val="center"/>
      </w:pPr>
      <w:r>
        <w:rPr>
          <w:b/>
        </w:rPr>
        <w:t xml:space="preserve">Referencia: </w:t>
      </w:r>
      <w:r>
        <w:t>RC20260726001</w:t>
      </w:r>
    </w:p>
    <w:p>
      <w:pPr>
        <w:jc w:val="center"/>
      </w:pPr>
      <w:r>
        <w:rPr>
          <w:b/>
        </w:rPr>
        <w:t xml:space="preserve">Fecha de inicio: </w:t>
      </w:r>
      <w:r>
        <w:t>16 de junio de 2026</w:t>
      </w:r>
    </w:p>
    <w:p>
      <w:pPr>
        <w:jc w:val="center"/>
      </w:pPr>
      <w:r>
        <w:rPr>
          <w:b/>
        </w:rPr>
        <w:t xml:space="preserve">Fecha de finalización: </w:t>
      </w:r>
      <w:r>
        <w:t>19 de junio de 2026</w:t>
      </w:r>
    </w:p>
    <w:p>
      <w:r>
        <w:br w:type="page"/>
      </w:r>
    </w:p>
    <w:p>
      <w:pPr>
        <w:pStyle w:val="Ttulo1"/>
      </w:pPr>
      <w:r>
        <w:t>Resumen Ejecutivo</w:t>
      </w:r>
    </w:p>
    <w:p>
      <w:r>
        <w:rPr>
          <w:b w:val="0"/>
          <w:i w:val="0"/>
        </w:rPr>
        <w:t>La planificación de tiempos y actividades garantiza un levantamiento de información sistemático, esencial para estructurar el gobierno de datos en Subastar Ecuador S.A.S. Para ello, se requiere una coordinación previa exhaustiva con todos los actores involucrados.</w:t>
      </w:r>
    </w:p>
    <w:p>
      <w:r>
        <w:rPr>
          <w:b w:val="0"/>
          <w:i w:val="0"/>
        </w:rPr>
        <w:t>La segmentación diaria por grupos de interés (MAG, stakeholders y operativos) facilita la aplicación secuencial de metodologías, permitiendo contrastar el marco normativo con la realidad operativa del proceso de subasta.</w:t>
      </w:r>
    </w:p>
    <w:p>
      <w:r>
        <w:br w:type="page"/>
      </w:r>
    </w:p>
    <w:p>
      <w:pPr>
        <w:pStyle w:val="Ttulo1"/>
      </w:pPr>
      <w:r>
        <w:t>1. Datos generales</w:t>
      </w:r>
    </w:p>
    <w:tbl>
      <w:tblPr>
        <w:tblStyle w:val="Tablaconcuadrcula"/>
        <w:tblW w:type="auto" w:w="0"/>
        <w:jc w:val="center"/>
        <w:tblLook w:firstColumn="1" w:firstRow="1" w:lastColumn="0" w:lastRow="0" w:noHBand="0" w:noVBand="1" w:val="04A0"/>
      </w:tblPr>
      <w:tblGrid>
        <w:gridCol w:w="4607"/>
        <w:gridCol w:w="4607"/>
      </w:tblGrid>
      <w:tr>
        <w:tc>
          <w:tcPr>
            <w:tcW w:type="dxa" w:w="4607"/>
            <w:shd w:val="clear" w:color="auto" w:fill="1F4E79"/>
          </w:tcPr>
          <w:p>
            <w:r>
              <w:rPr>
                <w:color w:val="FFFFFF"/>
              </w:rPr>
            </w:r>
            <w:r>
              <w:rPr>
                <w:b/>
                <w:color w:val="FFFFFF"/>
              </w:rPr>
              <w:t>Campo</w:t>
            </w:r>
          </w:p>
        </w:tc>
        <w:tc>
          <w:tcPr>
            <w:tcW w:type="dxa" w:w="4607"/>
            <w:shd w:val="clear" w:color="auto" w:fill="1F4E79"/>
          </w:tcPr>
          <w:p>
            <w:r>
              <w:rPr>
                <w:color w:val="FFFFFF"/>
              </w:rPr>
            </w:r>
            <w:r>
              <w:rPr>
                <w:b/>
                <w:color w:val="FFFFFF"/>
              </w:rPr>
              <w:t>Descripción</w:t>
            </w:r>
          </w:p>
        </w:tc>
      </w:tr>
      <w:tr>
        <w:tc>
          <w:tcPr>
            <w:tcW w:type="dxa" w:w="4607"/>
          </w:tcPr>
          <w:p>
            <w:r>
              <w:t>Destino</w:t>
            </w:r>
          </w:p>
        </w:tc>
        <w:tc>
          <w:tcPr>
            <w:tcW w:type="dxa" w:w="4607"/>
          </w:tcPr>
          <w:p>
            <w:r>
              <w:t>Chone, Manabí</w:t>
            </w:r>
          </w:p>
        </w:tc>
      </w:tr>
      <w:tr>
        <w:tc>
          <w:tcPr>
            <w:tcW w:type="dxa" w:w="4607"/>
          </w:tcPr>
          <w:p>
            <w:r>
              <w:t>Fechas</w:t>
            </w:r>
          </w:p>
        </w:tc>
        <w:tc>
          <w:tcPr>
            <w:tcW w:type="dxa" w:w="4607"/>
          </w:tcPr>
          <w:p>
            <w:r>
              <w:t>martes 16 de junio - viernes 19 de junio</w:t>
            </w:r>
          </w:p>
        </w:tc>
      </w:tr>
      <w:tr>
        <w:tc>
          <w:tcPr>
            <w:tcW w:type="dxa" w:w="4607"/>
          </w:tcPr>
          <w:p>
            <w:r>
              <w:t>Duración</w:t>
            </w:r>
          </w:p>
        </w:tc>
        <w:tc>
          <w:tcPr>
            <w:tcW w:type="dxa" w:w="4607"/>
          </w:tcPr>
          <w:p>
            <w:r>
              <w:t>4 días / 3 noches</w:t>
            </w:r>
          </w:p>
        </w:tc>
      </w:tr>
      <w:tr>
        <w:tc>
          <w:tcPr>
            <w:tcW w:type="dxa" w:w="4607"/>
          </w:tcPr>
          <w:p>
            <w:r>
              <w:t>Responsables</w:t>
            </w:r>
          </w:p>
        </w:tc>
        <w:tc>
          <w:tcPr>
            <w:tcW w:type="dxa" w:w="4607"/>
          </w:tcPr>
          <w:p>
            <w:r>
              <w:t>Bryan Sánchez (Procesos)</w:t>
            </w:r>
          </w:p>
        </w:tc>
      </w:tr>
      <w:tr>
        <w:tc>
          <w:tcPr>
            <w:tcW w:type="dxa" w:w="4607"/>
          </w:tcPr>
          <w:p>
            <w:r>
              <w:t>Objetivo</w:t>
            </w:r>
          </w:p>
        </w:tc>
        <w:tc>
          <w:tcPr>
            <w:tcW w:type="dxa" w:w="4607"/>
          </w:tcPr>
          <w:p>
            <w:r>
              <w:t>Recopilación de información para la elaboración del Producto 2</w:t>
            </w:r>
          </w:p>
        </w:tc>
      </w:tr>
      <w:tr>
        <w:tc>
          <w:tcPr>
            <w:tcW w:type="dxa" w:w="4607"/>
          </w:tcPr>
          <w:p>
            <w:r>
              <w:t>Metodologías</w:t>
            </w:r>
          </w:p>
        </w:tc>
        <w:tc>
          <w:tcPr>
            <w:tcW w:type="dxa" w:w="4607"/>
          </w:tcPr>
          <w:p>
            <w:r>
              <w:t>BPMN 2.0 (mapeo de procesos), DAMA-DMBOK + DCAM (gobernanza de datos)</w:t>
            </w:r>
          </w:p>
        </w:tc>
      </w:tr>
      <w:tr>
        <w:tc>
          <w:tcPr>
            <w:tcW w:type="dxa" w:w="4607"/>
          </w:tcPr>
          <w:p>
            <w:r>
              <w:t>Contrapartes</w:t>
            </w:r>
          </w:p>
        </w:tc>
        <w:tc>
          <w:tcPr>
            <w:tcW w:type="dxa" w:w="4607"/>
          </w:tcPr>
          <w:p>
            <w:r>
              <w:t>Subastar Ecuador S.A.S., MAG, GIZ / ECO Consult</w:t>
            </w:r>
          </w:p>
        </w:tc>
      </w:tr>
    </w:tbl>
    <w:p>
      <w:pPr>
        <w:pStyle w:val="Ttulo1"/>
      </w:pPr>
      <w:r>
        <w:t>2. Definiciones</w:t>
      </w:r>
    </w:p>
    <w:p>
      <w:r>
        <w:rPr>
          <w:b w:val="0"/>
          <w:i w:val="0"/>
        </w:rPr>
        <w:t>Producto 2: Modelado y optimización de procesos operativos.</w:t>
      </w:r>
    </w:p>
    <w:p>
      <w:r>
        <w:rPr>
          <w:b w:val="0"/>
          <w:i w:val="0"/>
        </w:rPr>
        <w:t>Producto 3: Informe de gobierno de datos</w:t>
      </w:r>
    </w:p>
    <w:p>
      <w:r>
        <w:rPr>
          <w:b w:val="0"/>
          <w:i w:val="0"/>
        </w:rPr>
        <w:t>Producto 4: Recomendaciones</w:t>
      </w:r>
    </w:p>
    <w:p>
      <w:r>
        <w:rPr>
          <w:b w:val="0"/>
          <w:i w:val="0"/>
        </w:rPr>
        <w:t>MAG: Ministerio de Agricultura y Ganadería de Ecuador.</w:t>
      </w:r>
    </w:p>
    <w:p>
      <w:pPr>
        <w:pStyle w:val="Ttulo1"/>
      </w:pPr>
      <w:r>
        <w:t>3. Itinerario detallado por día</w:t>
      </w:r>
    </w:p>
    <w:p>
      <w:pPr>
        <w:pStyle w:val="Ttulo2"/>
      </w:pPr>
      <w:r>
        <w:t>3.1 Día 1 – Martes 16 de junio de 2026</w:t>
      </w:r>
    </w:p>
    <w:p>
      <w:r>
        <w:rPr>
          <w:b w:val="0"/>
          <w:i/>
        </w:rPr>
        <w:t>Enfoque: Traslado, Ministerio de Agricultura y Ganadería (MAG)</w:t>
      </w:r>
    </w:p>
    <w:tbl>
      <w:tblPr>
        <w:tblStyle w:val="Tablaconcuadrcula"/>
        <w:tblW w:type="auto" w:w="0"/>
        <w:jc w:val="center"/>
        <w:tblLook w:firstColumn="1" w:firstRow="1" w:lastColumn="0" w:lastRow="0" w:noHBand="0" w:noVBand="1" w:val="04A0"/>
      </w:tblPr>
      <w:tblGrid>
        <w:gridCol w:w="2303"/>
        <w:gridCol w:w="2303"/>
        <w:gridCol w:w="2303"/>
        <w:gridCol w:w="2303"/>
      </w:tblGrid>
      <w:tr>
        <w:tc>
          <w:tcPr>
            <w:tcW w:type="dxa" w:w="2303"/>
            <w:shd w:val="clear" w:color="auto" w:fill="1F4E79"/>
          </w:tcPr>
          <w:p>
            <w:r>
              <w:rPr>
                <w:color w:val="FFFFFF"/>
              </w:rPr>
            </w:r>
            <w:r>
              <w:rPr>
                <w:b/>
                <w:color w:val="FFFFFF"/>
              </w:rPr>
              <w:t>Hora</w:t>
            </w:r>
          </w:p>
        </w:tc>
        <w:tc>
          <w:tcPr>
            <w:tcW w:type="dxa" w:w="2303"/>
            <w:shd w:val="clear" w:color="auto" w:fill="1F4E79"/>
          </w:tcPr>
          <w:p>
            <w:r>
              <w:rPr>
                <w:color w:val="FFFFFF"/>
              </w:rPr>
            </w:r>
            <w:r>
              <w:rPr>
                <w:b/>
                <w:color w:val="FFFFFF"/>
              </w:rPr>
              <w:t>Actividad</w:t>
            </w:r>
          </w:p>
        </w:tc>
        <w:tc>
          <w:tcPr>
            <w:tcW w:type="dxa" w:w="2303"/>
            <w:shd w:val="clear" w:color="auto" w:fill="1F4E79"/>
          </w:tcPr>
          <w:p>
            <w:r>
              <w:rPr>
                <w:color w:val="FFFFFF"/>
              </w:rPr>
            </w:r>
            <w:r>
              <w:rPr>
                <w:b/>
                <w:color w:val="FFFFFF"/>
              </w:rPr>
              <w:t>Participantes</w:t>
            </w:r>
          </w:p>
        </w:tc>
        <w:tc>
          <w:tcPr>
            <w:tcW w:type="dxa" w:w="2303"/>
            <w:shd w:val="clear" w:color="auto" w:fill="1F4E79"/>
          </w:tcPr>
          <w:p>
            <w:r>
              <w:rPr>
                <w:color w:val="FFFFFF"/>
              </w:rPr>
            </w:r>
            <w:r>
              <w:rPr>
                <w:b/>
                <w:color w:val="FFFFFF"/>
              </w:rPr>
              <w:t>Producto asociado</w:t>
            </w:r>
          </w:p>
        </w:tc>
      </w:tr>
      <w:tr>
        <w:tc>
          <w:tcPr>
            <w:tcW w:type="dxa" w:w="2303"/>
          </w:tcPr>
          <w:p>
            <w:r>
              <w:t>06:00 – 06:55</w:t>
            </w:r>
          </w:p>
        </w:tc>
        <w:tc>
          <w:tcPr>
            <w:tcW w:type="dxa" w:w="2303"/>
          </w:tcPr>
          <w:p>
            <w:r>
              <w:t>Vuelo Quito – Manta</w:t>
            </w:r>
          </w:p>
        </w:tc>
        <w:tc>
          <w:tcPr>
            <w:tcW w:type="dxa" w:w="2303"/>
          </w:tcPr>
          <w:p>
            <w:r>
              <w:t>-</w:t>
            </w:r>
          </w:p>
        </w:tc>
        <w:tc>
          <w:tcPr>
            <w:tcW w:type="dxa" w:w="2303"/>
          </w:tcPr>
          <w:p>
            <w:r>
              <w:t>–</w:t>
            </w:r>
          </w:p>
        </w:tc>
      </w:tr>
      <w:tr>
        <w:tc>
          <w:tcPr>
            <w:tcW w:type="dxa" w:w="2303"/>
          </w:tcPr>
          <w:p>
            <w:r>
              <w:t>09:00 – 10:30</w:t>
            </w:r>
          </w:p>
        </w:tc>
        <w:tc>
          <w:tcPr>
            <w:tcW w:type="dxa" w:w="2303"/>
          </w:tcPr>
          <w:p>
            <w:r>
              <w:t>Traslado Manta – Chone (vía terrestre)</w:t>
            </w:r>
          </w:p>
        </w:tc>
        <w:tc>
          <w:tcPr>
            <w:tcW w:type="dxa" w:w="2303"/>
          </w:tcPr>
          <w:p>
            <w:r>
              <w:t>GIZ</w:t>
            </w:r>
          </w:p>
        </w:tc>
        <w:tc>
          <w:tcPr>
            <w:tcW w:type="dxa" w:w="2303"/>
          </w:tcPr>
          <w:p>
            <w:r>
              <w:t>–</w:t>
            </w:r>
          </w:p>
        </w:tc>
      </w:tr>
      <w:tr>
        <w:tc>
          <w:tcPr>
            <w:tcW w:type="dxa" w:w="2303"/>
          </w:tcPr>
          <w:p>
            <w:r>
              <w:t>10:30 – 11:00</w:t>
            </w:r>
          </w:p>
        </w:tc>
        <w:tc>
          <w:tcPr>
            <w:tcW w:type="dxa" w:w="2303"/>
          </w:tcPr>
          <w:p>
            <w:r>
              <w:t>Check In Hotel</w:t>
            </w:r>
          </w:p>
        </w:tc>
        <w:tc>
          <w:tcPr>
            <w:tcW w:type="dxa" w:w="2303"/>
          </w:tcPr>
          <w:p>
            <w:r>
              <w:t>Bryan Sánchez</w:t>
            </w:r>
          </w:p>
        </w:tc>
        <w:tc>
          <w:tcPr>
            <w:tcW w:type="dxa" w:w="2303"/>
          </w:tcPr>
          <w:p>
            <w:r>
              <w:t>–</w:t>
            </w:r>
          </w:p>
        </w:tc>
      </w:tr>
      <w:tr>
        <w:tc>
          <w:tcPr>
            <w:tcW w:type="dxa" w:w="2303"/>
          </w:tcPr>
          <w:p>
            <w:r>
              <w:t>11:00 – 12:30</w:t>
            </w:r>
          </w:p>
        </w:tc>
        <w:tc>
          <w:tcPr>
            <w:tcW w:type="dxa" w:w="2303"/>
          </w:tcPr>
          <w:p>
            <w:r>
              <w:t>Revisión de documentación para entrevistas</w:t>
            </w:r>
          </w:p>
        </w:tc>
        <w:tc>
          <w:tcPr>
            <w:tcW w:type="dxa" w:w="2303"/>
          </w:tcPr>
          <w:p>
            <w:r>
              <w:t>Bryan Sánchez</w:t>
            </w:r>
          </w:p>
        </w:tc>
        <w:tc>
          <w:tcPr>
            <w:tcW w:type="dxa" w:w="2303"/>
          </w:tcPr>
          <w:p>
            <w:r>
              <w:t>Producto 2</w:t>
            </w:r>
          </w:p>
        </w:tc>
      </w:tr>
      <w:tr>
        <w:tc>
          <w:tcPr>
            <w:tcW w:type="dxa" w:w="2303"/>
          </w:tcPr>
          <w:p>
            <w:r>
              <w:t>12:30 – 14:30</w:t>
            </w:r>
          </w:p>
        </w:tc>
        <w:tc>
          <w:tcPr>
            <w:tcW w:type="dxa" w:w="2303"/>
          </w:tcPr>
          <w:p>
            <w:r>
              <w:t>Almuerzo</w:t>
            </w:r>
          </w:p>
        </w:tc>
        <w:tc>
          <w:tcPr>
            <w:tcW w:type="dxa" w:w="2303"/>
          </w:tcPr>
          <w:p>
            <w:r>
              <w:t>–</w:t>
            </w:r>
          </w:p>
        </w:tc>
        <w:tc>
          <w:tcPr>
            <w:tcW w:type="dxa" w:w="2303"/>
          </w:tcPr>
          <w:p>
            <w:r>
              <w:t>–</w:t>
            </w:r>
          </w:p>
        </w:tc>
      </w:tr>
      <w:tr>
        <w:tc>
          <w:tcPr>
            <w:tcW w:type="dxa" w:w="2303"/>
          </w:tcPr>
          <w:p>
            <w:r>
              <w:t>14:30 – 17:00</w:t>
            </w:r>
          </w:p>
        </w:tc>
        <w:tc>
          <w:tcPr>
            <w:tcW w:type="dxa" w:w="2303"/>
          </w:tcPr>
          <w:p>
            <w:r>
              <w:t>Entrevista a representantes del MAGP</w:t>
            </w:r>
          </w:p>
        </w:tc>
        <w:tc>
          <w:tcPr>
            <w:tcW w:type="dxa" w:w="2303"/>
          </w:tcPr>
          <w:p>
            <w:r>
              <w:t>Bryan Sánchez, representante MAG con participación en el ciclo de vida del ganado</w:t>
            </w:r>
          </w:p>
        </w:tc>
        <w:tc>
          <w:tcPr>
            <w:tcW w:type="dxa" w:w="2303"/>
          </w:tcPr>
          <w:p>
            <w:r>
              <w:t>Producto 2</w:t>
            </w:r>
          </w:p>
        </w:tc>
      </w:tr>
      <w:tr>
        <w:tc>
          <w:tcPr>
            <w:tcW w:type="dxa" w:w="2303"/>
          </w:tcPr>
          <w:p>
            <w:r>
              <w:t>17:00 – 18:00</w:t>
            </w:r>
          </w:p>
        </w:tc>
        <w:tc>
          <w:tcPr>
            <w:tcW w:type="dxa" w:w="2303"/>
          </w:tcPr>
          <w:p>
            <w:r>
              <w:t>Sistematización de notas del día y revisión de datos</w:t>
            </w:r>
          </w:p>
        </w:tc>
        <w:tc>
          <w:tcPr>
            <w:tcW w:type="dxa" w:w="2303"/>
          </w:tcPr>
          <w:p>
            <w:r>
              <w:t>Bryan Sánchez</w:t>
            </w:r>
          </w:p>
        </w:tc>
        <w:tc>
          <w:tcPr>
            <w:tcW w:type="dxa" w:w="2303"/>
          </w:tcPr>
          <w:p>
            <w:r>
              <w:t>Producto 2</w:t>
            </w:r>
          </w:p>
        </w:tc>
      </w:tr>
      <w:tr>
        <w:tc>
          <w:tcPr>
            <w:tcW w:type="dxa" w:w="2303"/>
          </w:tcPr>
          <w:p>
            <w:r>
              <w:t>18:00 – 19:00</w:t>
            </w:r>
          </w:p>
        </w:tc>
        <w:tc>
          <w:tcPr>
            <w:tcW w:type="dxa" w:w="2303"/>
          </w:tcPr>
          <w:p>
            <w:r>
              <w:t>Cena</w:t>
            </w:r>
          </w:p>
        </w:tc>
        <w:tc>
          <w:tcPr>
            <w:tcW w:type="dxa" w:w="2303"/>
          </w:tcPr>
          <w:p>
            <w:r>
              <w:t>–</w:t>
            </w:r>
          </w:p>
        </w:tc>
        <w:tc>
          <w:tcPr>
            <w:tcW w:type="dxa" w:w="2303"/>
          </w:tcPr>
          <w:p>
            <w:r>
              <w:t>–</w:t>
            </w:r>
          </w:p>
        </w:tc>
      </w:tr>
      <w:tr>
        <w:tc>
          <w:tcPr>
            <w:tcW w:type="dxa" w:w="2303"/>
          </w:tcPr>
          <w:p>
            <w:r>
              <w:t>19:00 – 20:00</w:t>
            </w:r>
          </w:p>
        </w:tc>
        <w:tc>
          <w:tcPr>
            <w:tcW w:type="dxa" w:w="2303"/>
          </w:tcPr>
          <w:p>
            <w:r>
              <w:t>Preparación de instrumentos para el día siguiente.</w:t>
            </w:r>
          </w:p>
        </w:tc>
        <w:tc>
          <w:tcPr>
            <w:tcW w:type="dxa" w:w="2303"/>
          </w:tcPr>
          <w:p>
            <w:r>
              <w:t>Bryan Sánchez</w:t>
              <w:br/>
              <w:t>Rolando Casigña</w:t>
            </w:r>
          </w:p>
        </w:tc>
        <w:tc>
          <w:tcPr>
            <w:tcW w:type="dxa" w:w="2303"/>
          </w:tcPr>
          <w:p>
            <w:r>
              <w:t>–</w:t>
            </w:r>
          </w:p>
        </w:tc>
      </w:tr>
    </w:tbl>
    <w:p>
      <w:r>
        <w:rPr>
          <w:b/>
          <w:i w:val="0"/>
        </w:rPr>
        <w:t>Entregables parciales del día:</w:t>
      </w:r>
    </w:p>
    <w:p>
      <w:pPr>
        <w:pStyle w:val="Prrafodelista"/>
        <w:numPr>
          <w:ilvl w:val="0"/>
          <w:numId w:val="900"/>
        </w:numPr>
      </w:pPr>
      <w:r>
        <w:t>Notas de entrevista MAG (firmadas o grabadas con consentimiento)</w:t>
      </w:r>
    </w:p>
    <w:p>
      <w:pPr>
        <w:pStyle w:val="Prrafodelista"/>
        <w:numPr>
          <w:ilvl w:val="0"/>
          <w:numId w:val="900"/>
        </w:numPr>
      </w:pPr>
      <w:r>
        <w:t>Listado de normativas aplicables al sistema de comercialización</w:t>
      </w:r>
    </w:p>
    <w:p>
      <w:pPr>
        <w:pStyle w:val="Prrafodelista"/>
        <w:numPr>
          <w:ilvl w:val="0"/>
          <w:numId w:val="900"/>
        </w:numPr>
      </w:pPr>
      <w:r>
        <w:t>Identificación preliminar de roles y responsabilidades según MAG</w:t>
      </w:r>
    </w:p>
    <w:p>
      <w:pPr>
        <w:pStyle w:val="Ttulo2"/>
      </w:pPr>
      <w:r>
        <w:t>3.2 Día 2 – Miércoles 17 de junio de 2026</w:t>
      </w:r>
    </w:p>
    <w:p>
      <w:r>
        <w:rPr>
          <w:b w:val="0"/>
          <w:i/>
        </w:rPr>
        <w:t>Enfoque: Personal de venta y subasta / Personal técnico (Subastar Ecuador S.A.S.)</w:t>
      </w:r>
    </w:p>
    <w:tbl>
      <w:tblPr>
        <w:tblStyle w:val="Tablaconcuadrcula"/>
        <w:tblW w:type="auto" w:w="0"/>
        <w:jc w:val="center"/>
        <w:tblLook w:firstColumn="1" w:firstRow="1" w:lastColumn="0" w:lastRow="0" w:noHBand="0" w:noVBand="1" w:val="04A0"/>
      </w:tblPr>
      <w:tblGrid>
        <w:gridCol w:w="2303"/>
        <w:gridCol w:w="2303"/>
        <w:gridCol w:w="2303"/>
        <w:gridCol w:w="2303"/>
      </w:tblGrid>
      <w:tr>
        <w:tc>
          <w:tcPr>
            <w:tcW w:type="dxa" w:w="2303"/>
            <w:shd w:val="clear" w:color="auto" w:fill="1F4E79"/>
          </w:tcPr>
          <w:p>
            <w:r>
              <w:rPr>
                <w:color w:val="FFFFFF"/>
              </w:rPr>
            </w:r>
            <w:r>
              <w:rPr>
                <w:b/>
                <w:color w:val="FFFFFF"/>
              </w:rPr>
              <w:t>Hora</w:t>
            </w:r>
          </w:p>
        </w:tc>
        <w:tc>
          <w:tcPr>
            <w:tcW w:type="dxa" w:w="2303"/>
            <w:shd w:val="clear" w:color="auto" w:fill="1F4E79"/>
          </w:tcPr>
          <w:p>
            <w:r>
              <w:rPr>
                <w:color w:val="FFFFFF"/>
              </w:rPr>
            </w:r>
            <w:r>
              <w:rPr>
                <w:b/>
                <w:color w:val="FFFFFF"/>
              </w:rPr>
              <w:t>Actividad</w:t>
            </w:r>
          </w:p>
        </w:tc>
        <w:tc>
          <w:tcPr>
            <w:tcW w:type="dxa" w:w="2303"/>
            <w:shd w:val="clear" w:color="auto" w:fill="1F4E79"/>
          </w:tcPr>
          <w:p>
            <w:r>
              <w:rPr>
                <w:color w:val="FFFFFF"/>
              </w:rPr>
            </w:r>
            <w:r>
              <w:rPr>
                <w:b/>
                <w:color w:val="FFFFFF"/>
              </w:rPr>
              <w:t>Participantes</w:t>
            </w:r>
          </w:p>
        </w:tc>
        <w:tc>
          <w:tcPr>
            <w:tcW w:type="dxa" w:w="2303"/>
            <w:shd w:val="clear" w:color="auto" w:fill="1F4E79"/>
          </w:tcPr>
          <w:p>
            <w:r>
              <w:rPr>
                <w:color w:val="FFFFFF"/>
              </w:rPr>
            </w:r>
            <w:r>
              <w:rPr>
                <w:b/>
                <w:color w:val="FFFFFF"/>
              </w:rPr>
              <w:t>Producto asociado</w:t>
            </w:r>
          </w:p>
        </w:tc>
      </w:tr>
      <w:tr>
        <w:tc>
          <w:tcPr>
            <w:tcW w:type="dxa" w:w="2303"/>
          </w:tcPr>
          <w:p>
            <w:r>
              <w:t>08:00 – 09:00</w:t>
            </w:r>
          </w:p>
        </w:tc>
        <w:tc>
          <w:tcPr>
            <w:tcW w:type="dxa" w:w="2303"/>
          </w:tcPr>
          <w:p>
            <w:r>
              <w:t>Desayuno y preparación</w:t>
            </w:r>
          </w:p>
        </w:tc>
        <w:tc>
          <w:tcPr>
            <w:tcW w:type="dxa" w:w="2303"/>
          </w:tcPr>
          <w:p>
            <w:r>
              <w:t>-</w:t>
            </w:r>
          </w:p>
        </w:tc>
        <w:tc>
          <w:tcPr>
            <w:tcW w:type="dxa" w:w="2303"/>
          </w:tcPr>
          <w:p>
            <w:r>
              <w:t>-</w:t>
            </w:r>
          </w:p>
        </w:tc>
      </w:tr>
      <w:tr>
        <w:tc>
          <w:tcPr>
            <w:tcW w:type="dxa" w:w="2303"/>
          </w:tcPr>
          <w:p>
            <w:r>
              <w:t>09:00 – 10:00</w:t>
            </w:r>
          </w:p>
        </w:tc>
        <w:tc>
          <w:tcPr>
            <w:tcW w:type="dxa" w:w="2303"/>
          </w:tcPr>
          <w:p>
            <w:r>
              <w:t>Traslado a instalaciones de Subastar Ecuador S.A.S.</w:t>
            </w:r>
          </w:p>
        </w:tc>
        <w:tc>
          <w:tcPr>
            <w:tcW w:type="dxa" w:w="2303"/>
          </w:tcPr>
          <w:p>
            <w:r>
              <w:t>Logística GIZ</w:t>
            </w:r>
          </w:p>
        </w:tc>
        <w:tc>
          <w:tcPr>
            <w:tcW w:type="dxa" w:w="2303"/>
          </w:tcPr>
          <w:p>
            <w:r>
              <w:t>-</w:t>
            </w:r>
          </w:p>
        </w:tc>
      </w:tr>
      <w:tr>
        <w:tc>
          <w:tcPr>
            <w:tcW w:type="dxa" w:w="2303"/>
          </w:tcPr>
          <w:p>
            <w:r>
              <w:t>10:00 – 12:00</w:t>
            </w:r>
          </w:p>
        </w:tc>
        <w:tc>
          <w:tcPr>
            <w:tcW w:type="dxa" w:w="2303"/>
          </w:tcPr>
          <w:p>
            <w:r>
              <w:t>Entrevistas a personal de venta/administración</w:t>
            </w:r>
          </w:p>
        </w:tc>
        <w:tc>
          <w:tcPr>
            <w:tcW w:type="dxa" w:w="2303"/>
          </w:tcPr>
          <w:p>
            <w:r>
              <w:t xml:space="preserve">Bryan Sánchez, </w:t>
              <w:br/>
              <w:t>Se espera la participación de:</w:t>
              <w:br/>
              <w:t>Representante de subastar con conocimiento del proceso en el sistema.</w:t>
            </w:r>
          </w:p>
        </w:tc>
        <w:tc>
          <w:tcPr>
            <w:tcW w:type="dxa" w:w="2303"/>
          </w:tcPr>
          <w:p>
            <w:r>
              <w:t>Producto 2</w:t>
            </w:r>
          </w:p>
        </w:tc>
      </w:tr>
      <w:tr>
        <w:tc>
          <w:tcPr>
            <w:tcW w:type="dxa" w:w="2303"/>
          </w:tcPr>
          <w:p>
            <w:r>
              <w:t>13:00 – 14:30</w:t>
            </w:r>
          </w:p>
        </w:tc>
        <w:tc>
          <w:tcPr>
            <w:tcW w:type="dxa" w:w="2303"/>
          </w:tcPr>
          <w:p>
            <w:r>
              <w:t>Almuerzo</w:t>
            </w:r>
          </w:p>
        </w:tc>
        <w:tc>
          <w:tcPr>
            <w:tcW w:type="dxa" w:w="2303"/>
          </w:tcPr>
          <w:p>
            <w:r>
              <w:t>-</w:t>
            </w:r>
          </w:p>
        </w:tc>
        <w:tc>
          <w:tcPr>
            <w:tcW w:type="dxa" w:w="2303"/>
          </w:tcPr>
          <w:p>
            <w:r>
              <w:t>-</w:t>
            </w:r>
          </w:p>
        </w:tc>
      </w:tr>
      <w:tr>
        <w:tc>
          <w:tcPr>
            <w:tcW w:type="dxa" w:w="2303"/>
          </w:tcPr>
          <w:p>
            <w:r>
              <w:t>14:30 – 16:30</w:t>
            </w:r>
          </w:p>
        </w:tc>
        <w:tc>
          <w:tcPr>
            <w:tcW w:type="dxa" w:w="2303"/>
          </w:tcPr>
          <w:p>
            <w:r>
              <w:t>Entrevistas a personal técnico / registro y administración de datos</w:t>
            </w:r>
          </w:p>
        </w:tc>
        <w:tc>
          <w:tcPr>
            <w:tcW w:type="dxa" w:w="2303"/>
          </w:tcPr>
          <w:p>
            <w:r>
              <w:t xml:space="preserve">Bryan Sánchez, </w:t>
              <w:br/>
              <w:t>Se espera la participación de:</w:t>
              <w:br/>
              <w:t>Técnico del sistema Subastar (TI),</w:t>
              <w:br/>
              <w:t>Usuario del sistema posiblemente con el rol administrador.</w:t>
              <w:br/>
              <w:t>Administrador de base de datos.</w:t>
            </w:r>
          </w:p>
        </w:tc>
        <w:tc>
          <w:tcPr>
            <w:tcW w:type="dxa" w:w="2303"/>
          </w:tcPr>
          <w:p>
            <w:r>
              <w:t>Producto 2,3</w:t>
            </w:r>
          </w:p>
        </w:tc>
      </w:tr>
      <w:tr>
        <w:tc>
          <w:tcPr>
            <w:tcW w:type="dxa" w:w="2303"/>
          </w:tcPr>
          <w:p>
            <w:r>
              <w:t>16:30 – 17:30</w:t>
            </w:r>
          </w:p>
        </w:tc>
        <w:tc>
          <w:tcPr>
            <w:tcW w:type="dxa" w:w="2303"/>
          </w:tcPr>
          <w:p>
            <w:r>
              <w:t>Traslado a hotel</w:t>
            </w:r>
          </w:p>
        </w:tc>
        <w:tc>
          <w:tcPr>
            <w:tcW w:type="dxa" w:w="2303"/>
          </w:tcPr>
          <w:p>
            <w:r>
              <w:t>Logística GIZ</w:t>
            </w:r>
          </w:p>
        </w:tc>
        <w:tc>
          <w:tcPr>
            <w:tcW w:type="dxa" w:w="2303"/>
          </w:tcPr>
          <w:p>
            <w:r>
              <w:t>-</w:t>
            </w:r>
          </w:p>
        </w:tc>
      </w:tr>
      <w:tr>
        <w:tc>
          <w:tcPr>
            <w:tcW w:type="dxa" w:w="2303"/>
          </w:tcPr>
          <w:p>
            <w:r>
              <w:t>17:30 – 18:30</w:t>
            </w:r>
          </w:p>
        </w:tc>
        <w:tc>
          <w:tcPr>
            <w:tcW w:type="dxa" w:w="2303"/>
          </w:tcPr>
          <w:p>
            <w:r>
              <w:t>Sistematización de notas/ grabaciones</w:t>
            </w:r>
          </w:p>
        </w:tc>
        <w:tc>
          <w:tcPr>
            <w:tcW w:type="dxa" w:w="2303"/>
          </w:tcPr>
          <w:p>
            <w:r>
              <w:t>Bryan Sánchez</w:t>
            </w:r>
          </w:p>
        </w:tc>
        <w:tc>
          <w:tcPr>
            <w:tcW w:type="dxa" w:w="2303"/>
          </w:tcPr>
          <w:p>
            <w:r>
              <w:t>-</w:t>
            </w:r>
          </w:p>
        </w:tc>
      </w:tr>
      <w:tr>
        <w:tc>
          <w:tcPr>
            <w:tcW w:type="dxa" w:w="2303"/>
          </w:tcPr>
          <w:p>
            <w:r>
              <w:t>18:30 – 19:30</w:t>
            </w:r>
          </w:p>
        </w:tc>
        <w:tc>
          <w:tcPr>
            <w:tcW w:type="dxa" w:w="2303"/>
          </w:tcPr>
          <w:p>
            <w:r>
              <w:t>Cena</w:t>
            </w:r>
          </w:p>
        </w:tc>
        <w:tc>
          <w:tcPr>
            <w:tcW w:type="dxa" w:w="2303"/>
          </w:tcPr>
          <w:p>
            <w:r>
              <w:t>-</w:t>
            </w:r>
          </w:p>
        </w:tc>
        <w:tc>
          <w:tcPr>
            <w:tcW w:type="dxa" w:w="2303"/>
          </w:tcPr>
          <w:p>
            <w:r>
              <w:t>-</w:t>
            </w:r>
          </w:p>
        </w:tc>
      </w:tr>
      <w:tr>
        <w:tc>
          <w:tcPr>
            <w:tcW w:type="dxa" w:w="2303"/>
          </w:tcPr>
          <w:p>
            <w:r>
              <w:t>19:30 – 20:30</w:t>
            </w:r>
          </w:p>
        </w:tc>
        <w:tc>
          <w:tcPr>
            <w:tcW w:type="dxa" w:w="2303"/>
          </w:tcPr>
          <w:p>
            <w:r>
              <w:t>Preparación para día de subasta (revisión logística)</w:t>
            </w:r>
          </w:p>
        </w:tc>
        <w:tc>
          <w:tcPr>
            <w:tcW w:type="dxa" w:w="2303"/>
          </w:tcPr>
          <w:p>
            <w:r>
              <w:t>Bryan Sánchez</w:t>
              <w:br/>
              <w:t>Rolando Casigña</w:t>
            </w:r>
          </w:p>
        </w:tc>
        <w:tc>
          <w:tcPr>
            <w:tcW w:type="dxa" w:w="2303"/>
          </w:tcPr>
          <w:p>
            <w:r>
              <w:t>Producto 2,3</w:t>
            </w:r>
          </w:p>
        </w:tc>
      </w:tr>
    </w:tbl>
    <w:p>
      <w:r>
        <w:rPr>
          <w:b/>
          <w:i w:val="0"/>
        </w:rPr>
        <w:t>Entregables parciales del día:</w:t>
      </w:r>
    </w:p>
    <w:p>
      <w:pPr>
        <w:pStyle w:val="Prrafodelista"/>
        <w:numPr>
          <w:ilvl w:val="0"/>
          <w:numId w:val="900"/>
        </w:numPr>
      </w:pPr>
      <w:r>
        <w:t>Notas de entrevistas a personal de Subastar Ecuador S.A.S.</w:t>
      </w:r>
    </w:p>
    <w:p>
      <w:pPr>
        <w:pStyle w:val="Prrafodelista"/>
        <w:numPr>
          <w:ilvl w:val="0"/>
          <w:numId w:val="900"/>
        </w:numPr>
      </w:pPr>
      <w:r>
        <w:t>Identificación de documentos que se generan en cada paso (guías, facturas, registros)</w:t>
      </w:r>
    </w:p>
    <w:p>
      <w:pPr>
        <w:pStyle w:val="Prrafodelista"/>
        <w:numPr>
          <w:ilvl w:val="0"/>
          <w:numId w:val="900"/>
        </w:numPr>
      </w:pPr>
      <w:r>
        <w:t>Evidencias de procesos (fotos)</w:t>
      </w:r>
    </w:p>
    <w:p>
      <w:pPr>
        <w:pStyle w:val="Prrafodelista"/>
        <w:numPr>
          <w:ilvl w:val="0"/>
          <w:numId w:val="900"/>
        </w:numPr>
      </w:pPr>
      <w:r>
        <w:t>Primer bosquejo de flujo de procesos (borrador BPMN)</w:t>
      </w:r>
    </w:p>
    <w:p>
      <w:pPr>
        <w:pStyle w:val="Ttulo2"/>
      </w:pPr>
      <w:r>
        <w:t>3.3 Día 3 – Jueves 18 de junio de 2026</w:t>
      </w:r>
    </w:p>
    <w:p>
      <w:r>
        <w:rPr>
          <w:b w:val="0"/>
          <w:i/>
        </w:rPr>
        <w:t>Enfoque: Participación en subasta de bovinos en Subastar Ecuador S.A.S.</w:t>
      </w:r>
    </w:p>
    <w:tbl>
      <w:tblPr>
        <w:tblStyle w:val="Tablaconcuadrcula"/>
        <w:tblW w:type="auto" w:w="0"/>
        <w:jc w:val="center"/>
        <w:tblLook w:firstColumn="1" w:firstRow="1" w:lastColumn="0" w:lastRow="0" w:noHBand="0" w:noVBand="1" w:val="04A0"/>
      </w:tblPr>
      <w:tblGrid>
        <w:gridCol w:w="2303"/>
        <w:gridCol w:w="2303"/>
        <w:gridCol w:w="2303"/>
        <w:gridCol w:w="2303"/>
      </w:tblGrid>
      <w:tr>
        <w:tc>
          <w:tcPr>
            <w:tcW w:type="dxa" w:w="2303"/>
            <w:shd w:val="clear" w:color="auto" w:fill="1F4E79"/>
          </w:tcPr>
          <w:p>
            <w:r>
              <w:rPr>
                <w:color w:val="FFFFFF"/>
              </w:rPr>
            </w:r>
            <w:r>
              <w:rPr>
                <w:b/>
                <w:color w:val="FFFFFF"/>
              </w:rPr>
              <w:t>Hora</w:t>
            </w:r>
          </w:p>
        </w:tc>
        <w:tc>
          <w:tcPr>
            <w:tcW w:type="dxa" w:w="2303"/>
            <w:shd w:val="clear" w:color="auto" w:fill="1F4E79"/>
          </w:tcPr>
          <w:p>
            <w:r>
              <w:rPr>
                <w:color w:val="FFFFFF"/>
              </w:rPr>
            </w:r>
            <w:r>
              <w:rPr>
                <w:b/>
                <w:color w:val="FFFFFF"/>
              </w:rPr>
              <w:t>Actividad</w:t>
            </w:r>
          </w:p>
        </w:tc>
        <w:tc>
          <w:tcPr>
            <w:tcW w:type="dxa" w:w="2303"/>
            <w:shd w:val="clear" w:color="auto" w:fill="1F4E79"/>
          </w:tcPr>
          <w:p>
            <w:r>
              <w:rPr>
                <w:color w:val="FFFFFF"/>
              </w:rPr>
            </w:r>
            <w:r>
              <w:rPr>
                <w:b/>
                <w:color w:val="FFFFFF"/>
              </w:rPr>
              <w:t>Participantes</w:t>
            </w:r>
          </w:p>
        </w:tc>
        <w:tc>
          <w:tcPr>
            <w:tcW w:type="dxa" w:w="2303"/>
            <w:shd w:val="clear" w:color="auto" w:fill="1F4E79"/>
          </w:tcPr>
          <w:p>
            <w:r>
              <w:rPr>
                <w:color w:val="FFFFFF"/>
              </w:rPr>
            </w:r>
            <w:r>
              <w:rPr>
                <w:b/>
                <w:color w:val="FFFFFF"/>
              </w:rPr>
              <w:t>Producto asociado</w:t>
            </w:r>
          </w:p>
        </w:tc>
      </w:tr>
      <w:tr>
        <w:tc>
          <w:tcPr>
            <w:tcW w:type="dxa" w:w="2303"/>
          </w:tcPr>
          <w:p>
            <w:r>
              <w:t>07:00 – 08:00</w:t>
            </w:r>
          </w:p>
        </w:tc>
        <w:tc>
          <w:tcPr>
            <w:tcW w:type="dxa" w:w="2303"/>
          </w:tcPr>
          <w:p>
            <w:r>
              <w:t>Desayuno</w:t>
            </w:r>
          </w:p>
        </w:tc>
        <w:tc>
          <w:tcPr>
            <w:tcW w:type="dxa" w:w="2303"/>
          </w:tcPr>
          <w:p>
            <w:r>
              <w:t>-</w:t>
            </w:r>
          </w:p>
        </w:tc>
        <w:tc>
          <w:tcPr>
            <w:tcW w:type="dxa" w:w="2303"/>
          </w:tcPr>
          <w:p>
            <w:r>
              <w:t>-</w:t>
            </w:r>
          </w:p>
        </w:tc>
      </w:tr>
      <w:tr>
        <w:tc>
          <w:tcPr>
            <w:tcW w:type="dxa" w:w="2303"/>
          </w:tcPr>
          <w:p>
            <w:r>
              <w:t>08:00 – 09:00</w:t>
            </w:r>
          </w:p>
        </w:tc>
        <w:tc>
          <w:tcPr>
            <w:tcW w:type="dxa" w:w="2303"/>
          </w:tcPr>
          <w:p>
            <w:r>
              <w:t>Traslado a instalaciones de Subastar Ecuador S.A.S.</w:t>
            </w:r>
          </w:p>
        </w:tc>
        <w:tc>
          <w:tcPr>
            <w:tcW w:type="dxa" w:w="2303"/>
          </w:tcPr>
          <w:p>
            <w:r>
              <w:t>Logística GIZ</w:t>
            </w:r>
          </w:p>
        </w:tc>
        <w:tc>
          <w:tcPr>
            <w:tcW w:type="dxa" w:w="2303"/>
          </w:tcPr>
          <w:p>
            <w:r>
              <w:t>-</w:t>
            </w:r>
          </w:p>
        </w:tc>
      </w:tr>
      <w:tr>
        <w:tc>
          <w:tcPr>
            <w:tcW w:type="dxa" w:w="2303"/>
          </w:tcPr>
          <w:p>
            <w:r>
              <w:t>09:00 – 12:30</w:t>
            </w:r>
          </w:p>
        </w:tc>
        <w:tc>
          <w:tcPr>
            <w:tcW w:type="dxa" w:w="2303"/>
          </w:tcPr>
          <w:p>
            <w:r>
              <w:t>Entrevista a stakeholders</w:t>
            </w:r>
          </w:p>
        </w:tc>
        <w:tc>
          <w:tcPr>
            <w:tcW w:type="dxa" w:w="2303"/>
          </w:tcPr>
          <w:p>
            <w:r>
              <w:t>Bryan Sánchez</w:t>
              <w:br/>
              <w:t>Se espera la participación de:</w:t>
              <w:br/>
              <w:t>Ganaderos</w:t>
              <w:br/>
              <w:t>Compradores</w:t>
              <w:br/>
              <w:t>vendedores</w:t>
            </w:r>
          </w:p>
        </w:tc>
        <w:tc>
          <w:tcPr>
            <w:tcW w:type="dxa" w:w="2303"/>
          </w:tcPr>
          <w:p>
            <w:r>
              <w:t>Producto 2</w:t>
            </w:r>
          </w:p>
        </w:tc>
      </w:tr>
      <w:tr>
        <w:tc>
          <w:tcPr>
            <w:tcW w:type="dxa" w:w="2303"/>
          </w:tcPr>
          <w:p>
            <w:r>
              <w:t>12:30 – 14:30</w:t>
            </w:r>
          </w:p>
        </w:tc>
        <w:tc>
          <w:tcPr>
            <w:tcW w:type="dxa" w:w="2303"/>
          </w:tcPr>
          <w:p>
            <w:r>
              <w:t>Almuerzo</w:t>
            </w:r>
          </w:p>
        </w:tc>
        <w:tc>
          <w:tcPr>
            <w:tcW w:type="dxa" w:w="2303"/>
          </w:tcPr>
          <w:p>
            <w:r>
              <w:t>-</w:t>
            </w:r>
          </w:p>
        </w:tc>
        <w:tc>
          <w:tcPr>
            <w:tcW w:type="dxa" w:w="2303"/>
          </w:tcPr>
          <w:p>
            <w:r>
              <w:t>-</w:t>
            </w:r>
          </w:p>
        </w:tc>
      </w:tr>
      <w:tr>
        <w:tc>
          <w:tcPr>
            <w:tcW w:type="dxa" w:w="2303"/>
          </w:tcPr>
          <w:p>
            <w:r>
              <w:t>14:30 – 16:30</w:t>
            </w:r>
          </w:p>
        </w:tc>
        <w:tc>
          <w:tcPr>
            <w:tcW w:type="dxa" w:w="2303"/>
          </w:tcPr>
          <w:p>
            <w:r>
              <w:t>Entrevistas post-subasta</w:t>
            </w:r>
          </w:p>
        </w:tc>
        <w:tc>
          <w:tcPr>
            <w:tcW w:type="dxa" w:w="2303"/>
          </w:tcPr>
          <w:p>
            <w:r>
              <w:t xml:space="preserve">Bryan Sánchez, </w:t>
              <w:br/>
              <w:t>Se espera la participación de:</w:t>
              <w:br/>
              <w:t>Operadores del sistema subastar</w:t>
              <w:br/>
              <w:t>Administradores del sistema subartar</w:t>
            </w:r>
          </w:p>
        </w:tc>
        <w:tc>
          <w:tcPr>
            <w:tcW w:type="dxa" w:w="2303"/>
          </w:tcPr>
          <w:p>
            <w:r>
              <w:t>Producto 2,3</w:t>
            </w:r>
          </w:p>
        </w:tc>
      </w:tr>
      <w:tr>
        <w:tc>
          <w:tcPr>
            <w:tcW w:type="dxa" w:w="2303"/>
          </w:tcPr>
          <w:p>
            <w:r>
              <w:t>16:30 – 17:00</w:t>
            </w:r>
          </w:p>
        </w:tc>
        <w:tc>
          <w:tcPr>
            <w:tcW w:type="dxa" w:w="2303"/>
          </w:tcPr>
          <w:p>
            <w:r>
              <w:t>Solicitud de documentación*</w:t>
            </w:r>
          </w:p>
        </w:tc>
        <w:tc>
          <w:tcPr>
            <w:tcW w:type="dxa" w:w="2303"/>
          </w:tcPr>
          <w:p>
            <w:r>
              <w:t>Bryan Sánchez</w:t>
              <w:br/>
              <w:t>Se espera la participación de:</w:t>
              <w:br/>
              <w:t>Personal técnico TI Subastar.</w:t>
              <w:br/>
              <w:t>Administrador de base de datos del sistema Subastar.</w:t>
              <w:br/>
              <w:t>Se espera analizar o visualizar.</w:t>
              <w:br/>
              <w:t>Base de datos cruda,</w:t>
              <w:br/>
              <w:t>Esquema de base de datos</w:t>
              <w:br/>
              <w:t>Diccionario de datos</w:t>
            </w:r>
          </w:p>
        </w:tc>
        <w:tc>
          <w:tcPr>
            <w:tcW w:type="dxa" w:w="2303"/>
          </w:tcPr>
          <w:p>
            <w:r>
              <w:t>Producto 2,3</w:t>
            </w:r>
          </w:p>
        </w:tc>
      </w:tr>
      <w:tr>
        <w:tc>
          <w:tcPr>
            <w:tcW w:type="dxa" w:w="2303"/>
          </w:tcPr>
          <w:p>
            <w:r>
              <w:t>17:00 – 18:00</w:t>
            </w:r>
          </w:p>
        </w:tc>
        <w:tc>
          <w:tcPr>
            <w:tcW w:type="dxa" w:w="2303"/>
          </w:tcPr>
          <w:p>
            <w:r>
              <w:t>Traslado a hotel</w:t>
            </w:r>
          </w:p>
        </w:tc>
        <w:tc>
          <w:tcPr>
            <w:tcW w:type="dxa" w:w="2303"/>
          </w:tcPr>
          <w:p>
            <w:r>
              <w:t>Logística GIZ</w:t>
            </w:r>
          </w:p>
        </w:tc>
        <w:tc>
          <w:tcPr>
            <w:tcW w:type="dxa" w:w="2303"/>
          </w:tcPr>
          <w:p>
            <w:r>
              <w:t>-</w:t>
            </w:r>
          </w:p>
        </w:tc>
      </w:tr>
      <w:tr>
        <w:tc>
          <w:tcPr>
            <w:tcW w:type="dxa" w:w="2303"/>
          </w:tcPr>
          <w:p>
            <w:r>
              <w:t>18:30 – 19:30</w:t>
            </w:r>
          </w:p>
        </w:tc>
        <w:tc>
          <w:tcPr>
            <w:tcW w:type="dxa" w:w="2303"/>
          </w:tcPr>
          <w:p>
            <w:r>
              <w:t>Cena</w:t>
            </w:r>
          </w:p>
        </w:tc>
        <w:tc>
          <w:tcPr>
            <w:tcW w:type="dxa" w:w="2303"/>
          </w:tcPr>
          <w:p>
            <w:r>
              <w:t>-</w:t>
            </w:r>
          </w:p>
        </w:tc>
        <w:tc>
          <w:tcPr>
            <w:tcW w:type="dxa" w:w="2303"/>
          </w:tcPr>
          <w:p>
            <w:r>
              <w:t>-</w:t>
            </w:r>
          </w:p>
        </w:tc>
      </w:tr>
      <w:tr>
        <w:tc>
          <w:tcPr>
            <w:tcW w:type="dxa" w:w="2303"/>
          </w:tcPr>
          <w:p>
            <w:r>
              <w:t>19:30 – 20:30</w:t>
            </w:r>
          </w:p>
        </w:tc>
        <w:tc>
          <w:tcPr>
            <w:tcW w:type="dxa" w:w="2303"/>
          </w:tcPr>
          <w:p>
            <w:r>
              <w:t>Revisión de hallazgos de gobernanza de datos</w:t>
            </w:r>
          </w:p>
        </w:tc>
        <w:tc>
          <w:tcPr>
            <w:tcW w:type="dxa" w:w="2303"/>
          </w:tcPr>
          <w:p>
            <w:r>
              <w:t>Bryan Sánchez</w:t>
              <w:br/>
              <w:t>Rolando Casigña</w:t>
            </w:r>
          </w:p>
        </w:tc>
        <w:tc>
          <w:tcPr>
            <w:tcW w:type="dxa" w:w="2303"/>
          </w:tcPr>
          <w:p>
            <w:r>
              <w:t>Producto 4</w:t>
            </w:r>
          </w:p>
        </w:tc>
      </w:tr>
    </w:tbl>
    <w:p>
      <w:r>
        <w:rPr>
          <w:b/>
          <w:i w:val="0"/>
        </w:rPr>
        <w:t>Entregables parciales del día:</w:t>
      </w:r>
    </w:p>
    <w:p>
      <w:pPr>
        <w:pStyle w:val="Prrafodelista"/>
        <w:numPr>
          <w:ilvl w:val="0"/>
          <w:numId w:val="900"/>
        </w:numPr>
      </w:pPr>
      <w:r>
        <w:t>Diagrama BPMN 2.0 del proceso de subasta (borrador validado en campo).</w:t>
      </w:r>
    </w:p>
    <w:p>
      <w:pPr>
        <w:pStyle w:val="Prrafodelista"/>
        <w:numPr>
          <w:ilvl w:val="0"/>
          <w:numId w:val="900"/>
        </w:numPr>
      </w:pPr>
      <w:r>
        <w:t>Evidencia para inputs de proceso (fotos, recibos, documentación, legalizaciones)</w:t>
      </w:r>
    </w:p>
    <w:p>
      <w:pPr>
        <w:pStyle w:val="Prrafodelista"/>
        <w:numPr>
          <w:ilvl w:val="0"/>
          <w:numId w:val="900"/>
        </w:numPr>
      </w:pPr>
      <w:r>
        <w:t>Evidencias de salidas del proceso (fotos, informes, archivos, copias, resultados)</w:t>
      </w:r>
    </w:p>
    <w:p>
      <w:pPr>
        <w:pStyle w:val="Prrafodelista"/>
        <w:numPr>
          <w:ilvl w:val="0"/>
          <w:numId w:val="900"/>
        </w:numPr>
      </w:pPr>
      <w:r>
        <w:t>Archivos de entrevistas realizadas</w:t>
      </w:r>
    </w:p>
    <w:p>
      <w:pPr>
        <w:pStyle w:val="Prrafodelista"/>
        <w:numPr>
          <w:ilvl w:val="0"/>
          <w:numId w:val="900"/>
        </w:numPr>
      </w:pPr>
      <w:r>
        <w:t>Base de datos para validación de calidad de datos.</w:t>
      </w:r>
    </w:p>
    <w:p>
      <w:pPr>
        <w:pStyle w:val="Prrafodelista"/>
        <w:numPr>
          <w:ilvl w:val="0"/>
          <w:numId w:val="900"/>
        </w:numPr>
      </w:pPr>
      <w:r>
        <w:t>Identificación de puntos críticos</w:t>
      </w:r>
    </w:p>
    <w:p>
      <w:pPr>
        <w:pStyle w:val="Ttulo2"/>
      </w:pPr>
      <w:r>
        <w:t>3.4 Día 4 – Viernes 19 de junio de 2026</w:t>
      </w:r>
    </w:p>
    <w:p>
      <w:r>
        <w:rPr>
          <w:b w:val="0"/>
          <w:i/>
        </w:rPr>
        <w:t>Enfoque: Reunión con personal de GIZ/ECO Consult y cierre de levantamiento</w:t>
      </w:r>
    </w:p>
    <w:tbl>
      <w:tblPr>
        <w:tblStyle w:val="Tablaconcuadrcula"/>
        <w:tblW w:type="auto" w:w="0"/>
        <w:jc w:val="center"/>
        <w:tblLook w:firstColumn="1" w:firstRow="1" w:lastColumn="0" w:lastRow="0" w:noHBand="0" w:noVBand="1" w:val="04A0"/>
      </w:tblPr>
      <w:tblGrid>
        <w:gridCol w:w="2303"/>
        <w:gridCol w:w="2303"/>
        <w:gridCol w:w="2303"/>
        <w:gridCol w:w="2303"/>
      </w:tblGrid>
      <w:tr>
        <w:tc>
          <w:tcPr>
            <w:tcW w:type="dxa" w:w="2303"/>
            <w:shd w:val="clear" w:color="auto" w:fill="1F4E79"/>
          </w:tcPr>
          <w:p>
            <w:r>
              <w:rPr>
                <w:color w:val="FFFFFF"/>
              </w:rPr>
            </w:r>
            <w:r>
              <w:rPr>
                <w:b/>
                <w:color w:val="FFFFFF"/>
              </w:rPr>
              <w:t>Hora</w:t>
            </w:r>
          </w:p>
        </w:tc>
        <w:tc>
          <w:tcPr>
            <w:tcW w:type="dxa" w:w="2303"/>
            <w:shd w:val="clear" w:color="auto" w:fill="1F4E79"/>
          </w:tcPr>
          <w:p>
            <w:r>
              <w:rPr>
                <w:color w:val="FFFFFF"/>
              </w:rPr>
            </w:r>
            <w:r>
              <w:rPr>
                <w:b/>
                <w:color w:val="FFFFFF"/>
              </w:rPr>
              <w:t>Actividad</w:t>
            </w:r>
          </w:p>
        </w:tc>
        <w:tc>
          <w:tcPr>
            <w:tcW w:type="dxa" w:w="2303"/>
            <w:shd w:val="clear" w:color="auto" w:fill="1F4E79"/>
          </w:tcPr>
          <w:p>
            <w:r>
              <w:rPr>
                <w:color w:val="FFFFFF"/>
              </w:rPr>
            </w:r>
            <w:r>
              <w:rPr>
                <w:b/>
                <w:color w:val="FFFFFF"/>
              </w:rPr>
              <w:t>Participantes</w:t>
            </w:r>
          </w:p>
        </w:tc>
        <w:tc>
          <w:tcPr>
            <w:tcW w:type="dxa" w:w="2303"/>
            <w:shd w:val="clear" w:color="auto" w:fill="1F4E79"/>
          </w:tcPr>
          <w:p>
            <w:r>
              <w:rPr>
                <w:color w:val="FFFFFF"/>
              </w:rPr>
            </w:r>
            <w:r>
              <w:rPr>
                <w:b/>
                <w:color w:val="FFFFFF"/>
              </w:rPr>
              <w:t>Producto asociado</w:t>
            </w:r>
          </w:p>
        </w:tc>
      </w:tr>
      <w:tr>
        <w:tc>
          <w:tcPr>
            <w:tcW w:type="dxa" w:w="2303"/>
          </w:tcPr>
          <w:p>
            <w:r>
              <w:t>08:00 – 09:00</w:t>
            </w:r>
          </w:p>
        </w:tc>
        <w:tc>
          <w:tcPr>
            <w:tcW w:type="dxa" w:w="2303"/>
          </w:tcPr>
          <w:p>
            <w:r>
              <w:t>Desayuno</w:t>
            </w:r>
          </w:p>
        </w:tc>
        <w:tc>
          <w:tcPr>
            <w:tcW w:type="dxa" w:w="2303"/>
          </w:tcPr>
          <w:p>
            <w:r>
              <w:t>-</w:t>
            </w:r>
          </w:p>
        </w:tc>
        <w:tc>
          <w:tcPr>
            <w:tcW w:type="dxa" w:w="2303"/>
          </w:tcPr>
          <w:p>
            <w:r>
              <w:t>-</w:t>
            </w:r>
          </w:p>
        </w:tc>
      </w:tr>
      <w:tr>
        <w:tc>
          <w:tcPr>
            <w:tcW w:type="dxa" w:w="2303"/>
          </w:tcPr>
          <w:p>
            <w:r>
              <w:t>09:00 – 10:00</w:t>
            </w:r>
          </w:p>
        </w:tc>
        <w:tc>
          <w:tcPr>
            <w:tcW w:type="dxa" w:w="2303"/>
          </w:tcPr>
          <w:p>
            <w:r>
              <w:t>Traslado a lugar de reunión (oficina GIZ / ECO Consult)</w:t>
            </w:r>
          </w:p>
        </w:tc>
        <w:tc>
          <w:tcPr>
            <w:tcW w:type="dxa" w:w="2303"/>
          </w:tcPr>
          <w:p>
            <w:r>
              <w:t>Logística GIZ</w:t>
            </w:r>
          </w:p>
        </w:tc>
        <w:tc>
          <w:tcPr>
            <w:tcW w:type="dxa" w:w="2303"/>
          </w:tcPr>
          <w:p>
            <w:r>
              <w:t>-</w:t>
            </w:r>
          </w:p>
        </w:tc>
      </w:tr>
      <w:tr>
        <w:tc>
          <w:tcPr>
            <w:tcW w:type="dxa" w:w="2303"/>
          </w:tcPr>
          <w:p>
            <w:r>
              <w:t>10:00 – 12:00</w:t>
            </w:r>
          </w:p>
        </w:tc>
        <w:tc>
          <w:tcPr>
            <w:tcW w:type="dxa" w:w="2303"/>
          </w:tcPr>
          <w:p>
            <w:r>
              <w:t>Reunión con personal de apoyo de GIZ / ECO Consult</w:t>
            </w:r>
          </w:p>
        </w:tc>
        <w:tc>
          <w:tcPr>
            <w:tcW w:type="dxa" w:w="2303"/>
          </w:tcPr>
          <w:p>
            <w:r>
              <w:t>Bryan Sánchez</w:t>
              <w:br/>
              <w:t>Se espera la participación de:</w:t>
              <w:br/>
              <w:t>Personal GIZ/ ECO Consult</w:t>
            </w:r>
          </w:p>
        </w:tc>
        <w:tc>
          <w:tcPr>
            <w:tcW w:type="dxa" w:w="2303"/>
          </w:tcPr>
          <w:p>
            <w:r>
              <w:t>Producto 2,3,4</w:t>
            </w:r>
          </w:p>
        </w:tc>
      </w:tr>
      <w:tr>
        <w:tc>
          <w:tcPr>
            <w:tcW w:type="dxa" w:w="2303"/>
          </w:tcPr>
          <w:p>
            <w:r>
              <w:t>12:00 – 14:00</w:t>
            </w:r>
          </w:p>
        </w:tc>
        <w:tc>
          <w:tcPr>
            <w:tcW w:type="dxa" w:w="2303"/>
          </w:tcPr>
          <w:p>
            <w:r>
              <w:t>Almuerzo de trabajo (con GIZ)</w:t>
            </w:r>
          </w:p>
        </w:tc>
        <w:tc>
          <w:tcPr>
            <w:tcW w:type="dxa" w:w="2303"/>
          </w:tcPr>
          <w:p>
            <w:r>
              <w:t>-</w:t>
            </w:r>
          </w:p>
        </w:tc>
        <w:tc>
          <w:tcPr>
            <w:tcW w:type="dxa" w:w="2303"/>
          </w:tcPr>
          <w:p>
            <w:r>
              <w:t>-</w:t>
            </w:r>
          </w:p>
        </w:tc>
      </w:tr>
      <w:tr>
        <w:tc>
          <w:tcPr>
            <w:tcW w:type="dxa" w:w="2303"/>
          </w:tcPr>
          <w:p>
            <w:r>
              <w:t>14:00 – 14:30</w:t>
            </w:r>
          </w:p>
        </w:tc>
        <w:tc>
          <w:tcPr>
            <w:tcW w:type="dxa" w:w="2303"/>
          </w:tcPr>
          <w:p>
            <w:r>
              <w:t>Revisión de documentación registrada por GIZ/ECO Consult</w:t>
            </w:r>
          </w:p>
        </w:tc>
        <w:tc>
          <w:tcPr>
            <w:tcW w:type="dxa" w:w="2303"/>
          </w:tcPr>
          <w:p>
            <w:r>
              <w:t>Bryan Sánchez</w:t>
            </w:r>
          </w:p>
        </w:tc>
        <w:tc>
          <w:tcPr>
            <w:tcW w:type="dxa" w:w="2303"/>
          </w:tcPr>
          <w:p>
            <w:r>
              <w:t>Producto 2,3,4</w:t>
            </w:r>
          </w:p>
        </w:tc>
      </w:tr>
      <w:tr>
        <w:tc>
          <w:tcPr>
            <w:tcW w:type="dxa" w:w="2303"/>
          </w:tcPr>
          <w:p>
            <w:r>
              <w:t>14:30 – 15:00</w:t>
            </w:r>
          </w:p>
        </w:tc>
        <w:tc>
          <w:tcPr>
            <w:tcW w:type="dxa" w:w="2303"/>
          </w:tcPr>
          <w:p>
            <w:r>
              <w:t>Checkout</w:t>
            </w:r>
          </w:p>
        </w:tc>
        <w:tc>
          <w:tcPr>
            <w:tcW w:type="dxa" w:w="2303"/>
          </w:tcPr>
          <w:p>
            <w:r>
              <w:t>Bryan Sánchez</w:t>
            </w:r>
          </w:p>
        </w:tc>
        <w:tc>
          <w:tcPr>
            <w:tcW w:type="dxa" w:w="2303"/>
          </w:tcPr>
          <w:p>
            <w:r/>
          </w:p>
        </w:tc>
      </w:tr>
      <w:tr>
        <w:tc>
          <w:tcPr>
            <w:tcW w:type="dxa" w:w="2303"/>
          </w:tcPr>
          <w:p>
            <w:r>
              <w:t>15:00 – 16:30</w:t>
            </w:r>
          </w:p>
        </w:tc>
        <w:tc>
          <w:tcPr>
            <w:tcW w:type="dxa" w:w="2303"/>
          </w:tcPr>
          <w:p>
            <w:r>
              <w:t>Traslado Chone – Manta</w:t>
            </w:r>
          </w:p>
        </w:tc>
        <w:tc>
          <w:tcPr>
            <w:tcW w:type="dxa" w:w="2303"/>
          </w:tcPr>
          <w:p>
            <w:r>
              <w:t>Logística GIZ</w:t>
            </w:r>
          </w:p>
        </w:tc>
        <w:tc>
          <w:tcPr>
            <w:tcW w:type="dxa" w:w="2303"/>
          </w:tcPr>
          <w:p>
            <w:r>
              <w:t>-</w:t>
            </w:r>
          </w:p>
        </w:tc>
      </w:tr>
      <w:tr>
        <w:tc>
          <w:tcPr>
            <w:tcW w:type="dxa" w:w="2303"/>
          </w:tcPr>
          <w:p>
            <w:r>
              <w:t>18:11 – 19:00</w:t>
            </w:r>
          </w:p>
        </w:tc>
        <w:tc>
          <w:tcPr>
            <w:tcW w:type="dxa" w:w="2303"/>
          </w:tcPr>
          <w:p>
            <w:r>
              <w:t>Vuelo Manta – Quito (estimado)</w:t>
            </w:r>
          </w:p>
        </w:tc>
        <w:tc>
          <w:tcPr>
            <w:tcW w:type="dxa" w:w="2303"/>
          </w:tcPr>
          <w:p>
            <w:r>
              <w:t>-</w:t>
            </w:r>
          </w:p>
        </w:tc>
        <w:tc>
          <w:tcPr>
            <w:tcW w:type="dxa" w:w="2303"/>
          </w:tcPr>
          <w:p>
            <w:r>
              <w:t>-</w:t>
            </w:r>
          </w:p>
        </w:tc>
      </w:tr>
    </w:tbl>
    <w:p>
      <w:r>
        <w:rPr>
          <w:b/>
          <w:i w:val="0"/>
        </w:rPr>
        <w:t>Entregables parciales del día:</w:t>
      </w:r>
    </w:p>
    <w:p>
      <w:pPr>
        <w:pStyle w:val="Prrafodelista"/>
        <w:numPr>
          <w:ilvl w:val="0"/>
          <w:numId w:val="900"/>
        </w:numPr>
      </w:pPr>
      <w:r>
        <w:t>Acta de reunión con GIZ / ECO Consult (acuerdos y recomendaciones preliminares)</w:t>
      </w:r>
    </w:p>
    <w:p>
      <w:pPr>
        <w:pStyle w:val="Prrafodelista"/>
        <w:numPr>
          <w:ilvl w:val="0"/>
          <w:numId w:val="900"/>
        </w:numPr>
      </w:pPr>
      <w:r>
        <w:t>Archivos de entrevistas realizadas</w:t>
      </w:r>
    </w:p>
    <w:p>
      <w:pPr>
        <w:pStyle w:val="Prrafodelista"/>
        <w:numPr>
          <w:ilvl w:val="0"/>
          <w:numId w:val="900"/>
        </w:numPr>
      </w:pPr>
      <w:r>
        <w:t>Plan de complementación de información faltante (para la fase de documentación y producto 3)</w:t>
      </w:r>
    </w:p>
    <w:p>
      <w:pPr>
        <w:pStyle w:val="Prrafodelista"/>
        <w:numPr>
          <w:ilvl w:val="0"/>
          <w:numId w:val="900"/>
        </w:numPr>
      </w:pPr>
      <w:r>
        <w:t>Listado de insumos para Producto 3 (recomendaciones tecnológicas e interoperabilidad)</w:t>
      </w:r>
    </w:p>
    <w:p>
      <w:pPr>
        <w:pStyle w:val="Ttulo1"/>
      </w:pPr>
      <w:r>
        <w:t>4. Notas importantes</w:t>
      </w:r>
    </w:p>
    <w:p>
      <w:r>
        <w:rPr>
          <w:b w:val="0"/>
          <w:i w:val="0"/>
        </w:rPr>
        <w:t>Consentimiento informado: Llevar formatos de consentimiento para grabación de entrevistas y uso de información, cumpliendo con protección de datos personales.</w:t>
      </w:r>
    </w:p>
    <w:p>
      <w:r>
        <w:rPr>
          <w:b w:val="0"/>
          <w:i w:val="0"/>
        </w:rPr>
        <w:t>Puntos de quiebre: Durante la subasta del jueves, prestar especial atención al momento exacto donde se pierde la vinculación entre el animal y su finca de origen (ej: cuando se usa solo el arete sin respaldo documental, o cuando no se digitaliza la guía de movilización).</w:t>
      </w:r>
    </w:p>
    <w:p>
      <w:pPr>
        <w:pStyle w:val="Ttulo1"/>
      </w:pPr>
      <w:r>
        <w:t>5. Conclusiones</w:t>
      </w:r>
    </w:p>
    <w:p>
      <w:r>
        <w:rPr>
          <w:b w:val="0"/>
          <w:i w:val="0"/>
        </w:rPr>
        <w:t>La planificación de tiempos y actividades garantiza un levantamiento de información sistemático, esencial para estructurar el gobierno de datos en Subastar Ecuador S.A.S. Para ello, se requiere una coordinación previa exhaustiva con todos los actores involucrados.</w:t>
      </w:r>
    </w:p>
    <w:p>
      <w:r>
        <w:rPr>
          <w:b w:val="0"/>
          <w:i w:val="0"/>
        </w:rPr>
        <w:t>La segmentación diaria por grupos de interés (MAG, stakeholders y operativos) facilita la aplicación secuencial de metodologías, permitiendo contrastar el marco normativo con la realidad operativa del proceso de subasta.</w:t>
      </w:r>
    </w:p>
    <w:p>
      <w:pPr>
        <w:pStyle w:val="Ttulo1"/>
      </w:pPr>
      <w:r>
        <w:t>6. Recomendaciones</w:t>
      </w:r>
    </w:p>
    <w:p>
      <w:r>
        <w:rPr>
          <w:b w:val="0"/>
          <w:i w:val="0"/>
        </w:rPr>
        <w:t>Validar con antelación la logística y factibilidad de los traslados programados.</w:t>
      </w:r>
    </w:p>
    <w:p>
      <w:r>
        <w:rPr>
          <w:b w:val="0"/>
          <w:i w:val="0"/>
        </w:rPr>
        <w:t>Asegurar la disponibilidad del personal clave para las entrevistas, evitando demoras en la recolección de registros y evidencia técnica.</w:t>
      </w:r>
    </w:p>
    <w:p>
      <w:r>
        <w:rPr>
          <w:b w:val="0"/>
          <w:i w:val="0"/>
        </w:rPr>
        <w:t>Priorizar la detección de brechas en el flujo de procesos para contrastarlas con la metodología definida y proponer mejoras puntuales.</w:t>
      </w:r>
    </w:p>
    <w:sectPr w:rsidR="00205A7A" w:rsidRPr="00406C11" w:rsidSect="003934CC">
      <w:headerReference w:type="even" r:id="rId8"/>
      <w:headerReference w:type="default" r:id="rId9"/>
      <w:footerReference w:type="even" r:id="rId10"/>
      <w:footerReference w:type="default" r:id="rId11"/>
      <w:headerReference w:type="first" r:id="rId12"/>
      <w:footerReference w:type="first" r:id="rId13"/>
      <w:pgSz w:w="11906" w:h="16838"/>
      <w:pgMar w:top="1134" w:right="1558"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63EBA" w14:textId="77777777" w:rsidR="00940796" w:rsidRDefault="00940796" w:rsidP="00AA7BEA">
      <w:r>
        <w:separator/>
      </w:r>
    </w:p>
  </w:endnote>
  <w:endnote w:type="continuationSeparator" w:id="0">
    <w:p w14:paraId="53C651B9" w14:textId="77777777" w:rsidR="00940796" w:rsidRDefault="00940796" w:rsidP="00AA7B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eration Serif">
    <w:altName w:val="Times New Roman"/>
    <w:panose1 w:val="020B0604020202020204"/>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A64E" w14:textId="77777777" w:rsidR="00B95500" w:rsidRDefault="00B9550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538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8"/>
      <w:gridCol w:w="5062"/>
      <w:gridCol w:w="3549"/>
    </w:tblGrid>
    <w:tr w:rsidR="000C19F5" w:rsidRPr="00DC1E2E" w14:paraId="4723230F" w14:textId="77777777" w:rsidTr="00DC1E2E">
      <w:tc>
        <w:tcPr>
          <w:tcW w:w="664" w:type="pct"/>
          <w:vMerge w:val="restart"/>
          <w:vAlign w:val="center"/>
        </w:tcPr>
        <w:p w14:paraId="496D6390" w14:textId="708ED64E" w:rsidR="000C19F5" w:rsidRPr="00DC1E2E" w:rsidRDefault="00DC1E2E" w:rsidP="00DC1E2E">
          <w:pPr>
            <w:pStyle w:val="Piedepgina"/>
            <w:jc w:val="center"/>
            <w:rPr>
              <w:color w:val="747474" w:themeColor="background2" w:themeShade="80"/>
              <w:sz w:val="9"/>
              <w:szCs w:val="8"/>
              <w:lang w:val="es-ES"/>
            </w:rPr>
          </w:pPr>
          <w:r w:rsidRPr="00DC1E2E">
            <w:rPr>
              <w:rFonts w:ascii="Arial" w:hAnsi="Arial"/>
              <w:b/>
              <w:bCs/>
              <w:noProof/>
              <w:color w:val="747474" w:themeColor="background2" w:themeShade="80"/>
              <w:sz w:val="9"/>
              <w:szCs w:val="8"/>
              <w:lang w:val="es-ES"/>
              <w14:ligatures w14:val="standardContextual"/>
            </w:rPr>
            <w:drawing>
              <wp:anchor distT="0" distB="0" distL="114300" distR="114300" simplePos="0" relativeHeight="251680768" behindDoc="1" locked="0" layoutInCell="1" allowOverlap="1" wp14:anchorId="00FD4FFE" wp14:editId="48E55D3C">
                <wp:simplePos x="0" y="0"/>
                <wp:positionH relativeFrom="margin">
                  <wp:posOffset>372110</wp:posOffset>
                </wp:positionH>
                <wp:positionV relativeFrom="margin">
                  <wp:posOffset>-15240</wp:posOffset>
                </wp:positionV>
                <wp:extent cx="445770" cy="334010"/>
                <wp:effectExtent l="0" t="0" r="0" b="0"/>
                <wp:wrapNone/>
                <wp:docPr id="2134826183"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3258" name="Imagen 1" descr="Logotipo, nombre de la empresa&#10;&#10;El contenido generado por IA puede ser incorrecto."/>
                        <pic:cNvPicPr/>
                      </pic:nvPicPr>
                      <pic:blipFill>
                        <a:blip r:embed="rId1">
                          <a:grayscl/>
                          <a:extLst>
                            <a:ext uri="{28A0092B-C50C-407E-A947-70E740481C1C}">
                              <a14:useLocalDpi xmlns:a14="http://schemas.microsoft.com/office/drawing/2010/main" val="0"/>
                            </a:ext>
                          </a:extLst>
                        </a:blip>
                        <a:stretch>
                          <a:fillRect/>
                        </a:stretch>
                      </pic:blipFill>
                      <pic:spPr>
                        <a:xfrm flipH="1">
                          <a:off x="0" y="0"/>
                          <a:ext cx="445770" cy="334010"/>
                        </a:xfrm>
                        <a:prstGeom prst="rect">
                          <a:avLst/>
                        </a:prstGeom>
                      </pic:spPr>
                    </pic:pic>
                  </a:graphicData>
                </a:graphic>
                <wp14:sizeRelH relativeFrom="margin">
                  <wp14:pctWidth>0</wp14:pctWidth>
                </wp14:sizeRelH>
                <wp14:sizeRelV relativeFrom="margin">
                  <wp14:pctHeight>0</wp14:pctHeight>
                </wp14:sizeRelV>
              </wp:anchor>
            </w:drawing>
          </w:r>
        </w:p>
      </w:tc>
      <w:tc>
        <w:tcPr>
          <w:tcW w:w="2549" w:type="pct"/>
        </w:tcPr>
        <w:p w14:paraId="41DA3810" w14:textId="330B0937" w:rsidR="000C19F5" w:rsidRPr="00DC1E2E" w:rsidRDefault="000C19F5" w:rsidP="000C19F5">
          <w:pPr>
            <w:pStyle w:val="Piedepgina"/>
            <w:jc w:val="both"/>
            <w:rPr>
              <w:color w:val="747474" w:themeColor="background2" w:themeShade="80"/>
              <w:sz w:val="9"/>
              <w:szCs w:val="8"/>
              <w:lang w:val="es-ES"/>
            </w:rPr>
          </w:pPr>
          <w:r w:rsidRPr="00DC1E2E">
            <w:rPr>
              <w:color w:val="747474" w:themeColor="background2" w:themeShade="80"/>
              <w:sz w:val="9"/>
              <w:szCs w:val="8"/>
              <w:lang w:val="es-ES"/>
            </w:rPr>
            <w:t>KUYACODE S.A.S</w:t>
          </w:r>
        </w:p>
      </w:tc>
      <w:tc>
        <w:tcPr>
          <w:tcW w:w="1787" w:type="pct"/>
        </w:tcPr>
        <w:p w14:paraId="4C0DC3F3" w14:textId="77777777" w:rsidR="000C19F5" w:rsidRPr="00DC1E2E" w:rsidRDefault="000C19F5" w:rsidP="000C19F5">
          <w:pPr>
            <w:pStyle w:val="Piedepgina"/>
            <w:jc w:val="both"/>
            <w:rPr>
              <w:color w:val="747474" w:themeColor="background2" w:themeShade="80"/>
              <w:sz w:val="9"/>
              <w:szCs w:val="8"/>
              <w:lang w:val="es-ES"/>
            </w:rPr>
          </w:pPr>
        </w:p>
      </w:tc>
    </w:tr>
    <w:tr w:rsidR="000C19F5" w:rsidRPr="00DC1E2E" w14:paraId="64350E8B" w14:textId="77777777" w:rsidTr="00DC1E2E">
      <w:tc>
        <w:tcPr>
          <w:tcW w:w="664" w:type="pct"/>
          <w:vMerge/>
        </w:tcPr>
        <w:p w14:paraId="59A8B1EA" w14:textId="77777777" w:rsidR="000C19F5" w:rsidRPr="00DC1E2E" w:rsidRDefault="000C19F5" w:rsidP="000C19F5">
          <w:pPr>
            <w:pStyle w:val="Piedepgina"/>
            <w:jc w:val="both"/>
            <w:rPr>
              <w:color w:val="747474" w:themeColor="background2" w:themeShade="80"/>
              <w:sz w:val="9"/>
              <w:szCs w:val="8"/>
              <w:lang w:val="es-ES"/>
            </w:rPr>
          </w:pPr>
        </w:p>
      </w:tc>
      <w:tc>
        <w:tcPr>
          <w:tcW w:w="2549" w:type="pct"/>
        </w:tcPr>
        <w:p w14:paraId="136250B5" w14:textId="0DCD6AE5"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Direcci</w:t>
          </w:r>
          <w:r w:rsidR="00DC1E2E" w:rsidRPr="00DC1E2E">
            <w:rPr>
              <w:b/>
              <w:bCs/>
              <w:color w:val="747474" w:themeColor="background2" w:themeShade="80"/>
              <w:sz w:val="9"/>
              <w:szCs w:val="8"/>
              <w:lang w:val="es-ES"/>
            </w:rPr>
            <w:t>ón</w:t>
          </w:r>
          <w:r w:rsidR="00DC1E2E" w:rsidRPr="00DC1E2E">
            <w:rPr>
              <w:color w:val="747474" w:themeColor="background2" w:themeShade="80"/>
              <w:sz w:val="9"/>
              <w:szCs w:val="8"/>
              <w:lang w:val="es-ES"/>
            </w:rPr>
            <w:t xml:space="preserve">: </w:t>
          </w:r>
          <w:r w:rsidRPr="00DC1E2E">
            <w:rPr>
              <w:color w:val="747474" w:themeColor="background2" w:themeShade="80"/>
              <w:sz w:val="9"/>
              <w:szCs w:val="8"/>
              <w:lang w:val="es-ES"/>
            </w:rPr>
            <w:t xml:space="preserve">Riobamba El </w:t>
          </w:r>
          <w:r w:rsidR="00DC1E2E" w:rsidRPr="00DC1E2E">
            <w:rPr>
              <w:color w:val="747474" w:themeColor="background2" w:themeShade="80"/>
              <w:sz w:val="9"/>
              <w:szCs w:val="8"/>
              <w:lang w:val="es-ES"/>
            </w:rPr>
            <w:t>País</w:t>
          </w:r>
          <w:r w:rsidRPr="00DC1E2E">
            <w:rPr>
              <w:color w:val="747474" w:themeColor="background2" w:themeShade="80"/>
              <w:sz w:val="9"/>
              <w:szCs w:val="8"/>
              <w:lang w:val="es-ES"/>
            </w:rPr>
            <w:t xml:space="preserve"> y Renovación</w:t>
          </w:r>
        </w:p>
        <w:p w14:paraId="06EEC363" w14:textId="4EA5B146" w:rsidR="000C19F5" w:rsidRPr="00DC1E2E" w:rsidRDefault="00DC1E2E"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Dirección</w:t>
          </w:r>
          <w:r w:rsidRPr="00DC1E2E">
            <w:rPr>
              <w:color w:val="747474" w:themeColor="background2" w:themeShade="80"/>
              <w:sz w:val="9"/>
              <w:szCs w:val="8"/>
              <w:lang w:val="es-ES"/>
            </w:rPr>
            <w:t xml:space="preserve">: </w:t>
          </w:r>
          <w:r w:rsidR="000C19F5" w:rsidRPr="00DC1E2E">
            <w:rPr>
              <w:color w:val="747474" w:themeColor="background2" w:themeShade="80"/>
              <w:sz w:val="9"/>
              <w:szCs w:val="8"/>
              <w:lang w:val="es-ES"/>
            </w:rPr>
            <w:t>Quito: Quitumbe Ñan y S45</w:t>
          </w:r>
        </w:p>
      </w:tc>
      <w:tc>
        <w:tcPr>
          <w:tcW w:w="1787" w:type="pct"/>
        </w:tcPr>
        <w:p w14:paraId="3DDD0C7E" w14:textId="41AE17B7"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Correo</w:t>
          </w:r>
          <w:r w:rsidRPr="00DC1E2E">
            <w:rPr>
              <w:color w:val="747474" w:themeColor="background2" w:themeShade="80"/>
              <w:sz w:val="9"/>
              <w:szCs w:val="8"/>
              <w:lang w:val="es-ES"/>
            </w:rPr>
            <w:t>: rolo4336@gmail.com</w:t>
          </w:r>
        </w:p>
      </w:tc>
    </w:tr>
    <w:tr w:rsidR="000C19F5" w:rsidRPr="00DC1E2E" w14:paraId="553FB14D" w14:textId="77777777" w:rsidTr="00DC1E2E">
      <w:tc>
        <w:tcPr>
          <w:tcW w:w="664" w:type="pct"/>
          <w:vMerge/>
        </w:tcPr>
        <w:p w14:paraId="1AC14B5B" w14:textId="77777777" w:rsidR="000C19F5" w:rsidRPr="00DC1E2E" w:rsidRDefault="000C19F5" w:rsidP="000C19F5">
          <w:pPr>
            <w:pStyle w:val="Piedepgina"/>
            <w:jc w:val="both"/>
            <w:rPr>
              <w:color w:val="747474" w:themeColor="background2" w:themeShade="80"/>
              <w:sz w:val="9"/>
              <w:szCs w:val="8"/>
              <w:lang w:val="es-ES"/>
            </w:rPr>
          </w:pPr>
        </w:p>
      </w:tc>
      <w:tc>
        <w:tcPr>
          <w:tcW w:w="2549" w:type="pct"/>
        </w:tcPr>
        <w:p w14:paraId="2A04D1DD" w14:textId="6DEB9E1F" w:rsidR="000C19F5" w:rsidRPr="00DC1E2E" w:rsidRDefault="000C19F5" w:rsidP="000C19F5">
          <w:pPr>
            <w:pStyle w:val="Piedepgina"/>
            <w:jc w:val="both"/>
            <w:rPr>
              <w:color w:val="747474" w:themeColor="background2" w:themeShade="80"/>
              <w:sz w:val="9"/>
              <w:szCs w:val="8"/>
              <w:lang w:val="es-ES"/>
            </w:rPr>
          </w:pPr>
          <w:r w:rsidRPr="00DC1E2E">
            <w:rPr>
              <w:b/>
              <w:bCs/>
              <w:color w:val="747474" w:themeColor="background2" w:themeShade="80"/>
              <w:sz w:val="9"/>
              <w:szCs w:val="8"/>
              <w:lang w:val="es-ES"/>
            </w:rPr>
            <w:t>Teléfono</w:t>
          </w:r>
          <w:r w:rsidRPr="00DC1E2E">
            <w:rPr>
              <w:color w:val="747474" w:themeColor="background2" w:themeShade="80"/>
              <w:sz w:val="9"/>
              <w:szCs w:val="8"/>
              <w:lang w:val="es-ES"/>
            </w:rPr>
            <w:t>: +593998521447</w:t>
          </w:r>
        </w:p>
      </w:tc>
      <w:tc>
        <w:tcPr>
          <w:tcW w:w="1787" w:type="pct"/>
        </w:tcPr>
        <w:p w14:paraId="465F68AE" w14:textId="77777777" w:rsidR="000C19F5" w:rsidRPr="00DC1E2E" w:rsidRDefault="000C19F5" w:rsidP="000C19F5">
          <w:pPr>
            <w:pStyle w:val="Piedepgina"/>
            <w:jc w:val="both"/>
            <w:rPr>
              <w:color w:val="747474" w:themeColor="background2" w:themeShade="80"/>
              <w:sz w:val="9"/>
              <w:szCs w:val="8"/>
              <w:lang w:val="es-ES"/>
            </w:rPr>
          </w:pPr>
        </w:p>
      </w:tc>
    </w:tr>
  </w:tbl>
  <w:p w14:paraId="424E1021" w14:textId="178F53CE" w:rsidR="000C19F5" w:rsidRPr="00DC1E2E" w:rsidRDefault="000C19F5" w:rsidP="000C19F5">
    <w:pPr>
      <w:pStyle w:val="Piedepgina"/>
      <w:jc w:val="both"/>
      <w:rPr>
        <w:color w:val="747474" w:themeColor="background2" w:themeShade="80"/>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772B2" w14:textId="77777777" w:rsidR="00B95500" w:rsidRDefault="00B955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045EF" w14:textId="77777777" w:rsidR="00940796" w:rsidRDefault="00940796" w:rsidP="00AA7BEA">
      <w:r>
        <w:separator/>
      </w:r>
    </w:p>
  </w:footnote>
  <w:footnote w:type="continuationSeparator" w:id="0">
    <w:p w14:paraId="04F3D066" w14:textId="77777777" w:rsidR="00940796" w:rsidRDefault="00940796" w:rsidP="00AA7B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72770" w14:textId="43CCF581" w:rsidR="00205A7A" w:rsidRDefault="00940796">
    <w:pPr>
      <w:pStyle w:val="Encabezado"/>
    </w:pPr>
    <w:r>
      <w:rPr>
        <w:noProof/>
      </w:rPr>
      <w:pict w14:anchorId="3E1D2B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19" o:spid="_x0000_s1027" type="#_x0000_t136" alt="" style="position:absolute;margin-left:0;margin-top:0;width:305pt;height:43pt;z-index:-251619328;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5BCBA" w14:textId="5F8A45BC" w:rsidR="00AA7BEA" w:rsidRPr="00E12559" w:rsidRDefault="00940796" w:rsidP="00E12559">
    <w:pPr>
      <w:pStyle w:val="Encabezado"/>
      <w:spacing w:before="240"/>
      <w:jc w:val="center"/>
      <w:rPr>
        <w:b/>
        <w:bCs/>
        <w:sz w:val="54"/>
        <w:szCs w:val="180"/>
      </w:rPr>
    </w:pPr>
    <w:r>
      <w:rPr>
        <w:noProof/>
      </w:rPr>
      <w:pict w14:anchorId="24B5F5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20" o:spid="_x0000_s1026" type="#_x0000_t136" alt="" style="position:absolute;left:0;text-align:left;margin-left:0;margin-top:0;width:305pt;height:43pt;z-index:-251617280;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r w:rsidR="00F2567D">
      <w:rPr>
        <w:rFonts w:ascii="Arial" w:hAnsi="Arial" w:cs="Arial"/>
        <w:noProof/>
        <w14:ligatures w14:val="standardContextual"/>
      </w:rPr>
      <w:drawing>
        <wp:anchor distT="0" distB="0" distL="114300" distR="114300" simplePos="0" relativeHeight="251665408" behindDoc="0" locked="0" layoutInCell="1" allowOverlap="1" wp14:anchorId="7D812183" wp14:editId="41246BC2">
          <wp:simplePos x="0" y="0"/>
          <wp:positionH relativeFrom="margin">
            <wp:posOffset>5833110</wp:posOffset>
          </wp:positionH>
          <wp:positionV relativeFrom="margin">
            <wp:posOffset>-1007745</wp:posOffset>
          </wp:positionV>
          <wp:extent cx="846455" cy="1160780"/>
          <wp:effectExtent l="0" t="4762" r="0" b="0"/>
          <wp:wrapSquare wrapText="bothSides"/>
          <wp:docPr id="396500584" name="Imagen 3"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00584" name="Imagen 3" descr="Imagen en blanco y negro&#10;&#10;El contenido generado por IA puede ser incorrecto."/>
                  <pic:cNvPicPr/>
                </pic:nvPicPr>
                <pic:blipFill rotWithShape="1">
                  <a:blip r:embed="rId1">
                    <a:biLevel thresh="75000"/>
                    <a:extLst>
                      <a:ext uri="{28A0092B-C50C-407E-A947-70E740481C1C}">
                        <a14:useLocalDpi xmlns:a14="http://schemas.microsoft.com/office/drawing/2010/main" val="0"/>
                      </a:ext>
                    </a:extLst>
                  </a:blip>
                  <a:srcRect l="22329" t="24335" r="26874"/>
                  <a:stretch>
                    <a:fillRect/>
                  </a:stretch>
                </pic:blipFill>
                <pic:spPr bwMode="auto">
                  <a:xfrm rot="16200000">
                    <a:off x="0" y="0"/>
                    <a:ext cx="846455" cy="1160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12559" w:rsidRPr="00E12559">
      <w:rPr>
        <w:rFonts w:ascii="Arial" w:hAnsi="Arial"/>
        <w:b/>
        <w:bCs/>
        <w:noProof/>
        <w:sz w:val="240"/>
        <w:szCs w:val="240"/>
        <w14:ligatures w14:val="standardContextual"/>
      </w:rPr>
      <w:drawing>
        <wp:anchor distT="0" distB="0" distL="114300" distR="114300" simplePos="0" relativeHeight="251658240" behindDoc="0" locked="0" layoutInCell="1" allowOverlap="1" wp14:anchorId="02B8D4AB" wp14:editId="26E33032">
          <wp:simplePos x="0" y="0"/>
          <wp:positionH relativeFrom="column">
            <wp:posOffset>-720090</wp:posOffset>
          </wp:positionH>
          <wp:positionV relativeFrom="paragraph">
            <wp:posOffset>71755</wp:posOffset>
          </wp:positionV>
          <wp:extent cx="916940" cy="687705"/>
          <wp:effectExtent l="0" t="0" r="0" b="0"/>
          <wp:wrapSquare wrapText="bothSides"/>
          <wp:docPr id="587103258"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03258" name="Imagen 1" descr="Logotipo, nombre de la empresa&#10;&#10;El contenido generado por IA puede ser incorrecto."/>
                  <pic:cNvPicPr/>
                </pic:nvPicPr>
                <pic:blipFill>
                  <a:blip r:embed="rId2">
                    <a:grayscl/>
                    <a:extLst>
                      <a:ext uri="{28A0092B-C50C-407E-A947-70E740481C1C}">
                        <a14:useLocalDpi xmlns:a14="http://schemas.microsoft.com/office/drawing/2010/main" val="0"/>
                      </a:ext>
                    </a:extLst>
                  </a:blip>
                  <a:stretch>
                    <a:fillRect/>
                  </a:stretch>
                </pic:blipFill>
                <pic:spPr>
                  <a:xfrm flipH="1">
                    <a:off x="0" y="0"/>
                    <a:ext cx="916940" cy="687705"/>
                  </a:xfrm>
                  <a:prstGeom prst="rect">
                    <a:avLst/>
                  </a:prstGeom>
                </pic:spPr>
              </pic:pic>
            </a:graphicData>
          </a:graphic>
          <wp14:sizeRelH relativeFrom="page">
            <wp14:pctWidth>0</wp14:pctWidth>
          </wp14:sizeRelH>
          <wp14:sizeRelV relativeFrom="page">
            <wp14:pctHeight>0</wp14:pctHeight>
          </wp14:sizeRelV>
        </wp:anchor>
      </w:drawing>
    </w:r>
    <w:r w:rsidR="00E12559" w:rsidRPr="00E12559">
      <w:rPr>
        <w:rFonts w:hint="eastAsia"/>
        <w:b/>
        <w:bCs/>
        <w:sz w:val="54"/>
        <w:szCs w:val="180"/>
      </w:rPr>
      <w:t>KUYACODE S.A.S</w:t>
    </w:r>
  </w:p>
  <w:p w14:paraId="5E6B315D" w14:textId="4D1CECB5" w:rsidR="00FB5B47" w:rsidRPr="009242A7" w:rsidRDefault="00E12559" w:rsidP="00FB5B47">
    <w:pPr>
      <w:pStyle w:val="Encabezado"/>
      <w:jc w:val="center"/>
      <w:rPr>
        <w:color w:val="747474" w:themeColor="background2" w:themeShade="80"/>
        <w:sz w:val="18"/>
        <w:szCs w:val="16"/>
      </w:rPr>
    </w:pPr>
    <w:r w:rsidRPr="009242A7">
      <w:rPr>
        <w:color w:val="747474" w:themeColor="background2" w:themeShade="80"/>
        <w:sz w:val="18"/>
        <w:szCs w:val="16"/>
      </w:rPr>
      <w:t xml:space="preserve">Riobamba, </w:t>
    </w:r>
    <w:r w:rsidRPr="009242A7">
      <w:rPr>
        <w:rFonts w:hint="eastAsia"/>
        <w:color w:val="747474" w:themeColor="background2" w:themeShade="80"/>
        <w:sz w:val="18"/>
        <w:szCs w:val="16"/>
      </w:rPr>
      <w:fldChar w:fldCharType="begin"/>
    </w:r>
    <w:r w:rsidRPr="009242A7">
      <w:rPr>
        <w:rFonts w:hint="eastAsia"/>
        <w:color w:val="747474" w:themeColor="background2" w:themeShade="80"/>
        <w:sz w:val="18"/>
        <w:szCs w:val="16"/>
      </w:rPr>
      <w:instrText xml:space="preserve"> </w:instrText>
    </w:r>
    <w:r w:rsidRPr="009242A7">
      <w:rPr>
        <w:color w:val="747474" w:themeColor="background2" w:themeShade="80"/>
        <w:sz w:val="18"/>
        <w:szCs w:val="16"/>
      </w:rPr>
      <w:instrText>TIME \@ "MMMM 'de' yyyy"</w:instrText>
    </w:r>
    <w:r w:rsidRPr="009242A7">
      <w:rPr>
        <w:rFonts w:hint="eastAsia"/>
        <w:color w:val="747474" w:themeColor="background2" w:themeShade="80"/>
        <w:sz w:val="18"/>
        <w:szCs w:val="16"/>
      </w:rPr>
      <w:instrText xml:space="preserve"> </w:instrText>
    </w:r>
    <w:r w:rsidRPr="009242A7">
      <w:rPr>
        <w:rFonts w:hint="eastAsia"/>
        <w:color w:val="747474" w:themeColor="background2" w:themeShade="80"/>
        <w:sz w:val="18"/>
        <w:szCs w:val="16"/>
      </w:rPr>
      <w:fldChar w:fldCharType="separate"/>
    </w:r>
    <w:r w:rsidR="00406C11">
      <w:rPr>
        <w:noProof/>
        <w:color w:val="747474" w:themeColor="background2" w:themeShade="80"/>
        <w:sz w:val="18"/>
        <w:szCs w:val="16"/>
      </w:rPr>
      <w:t>julio de 2026</w:t>
    </w:r>
    <w:r w:rsidRPr="009242A7">
      <w:rPr>
        <w:rFonts w:hint="eastAsia"/>
        <w:color w:val="747474" w:themeColor="background2" w:themeShade="80"/>
        <w:sz w:val="18"/>
        <w:szCs w:val="16"/>
      </w:rPr>
      <w:fldChar w:fldCharType="end"/>
    </w:r>
    <w:r w:rsidRPr="009242A7">
      <w:rPr>
        <w:color w:val="747474" w:themeColor="background2" w:themeShade="80"/>
        <w:sz w:val="18"/>
        <w:szCs w:val="16"/>
      </w:rPr>
      <w:t>,</w:t>
    </w:r>
    <w:r w:rsidRPr="009242A7">
      <w:rPr>
        <w:noProof/>
        <w:color w:val="747474" w:themeColor="background2" w:themeShade="80"/>
        <w14:ligatures w14:val="standardContextual"/>
      </w:rPr>
      <w:t xml:space="preserve"> </w:t>
    </w:r>
    <w:r w:rsidRPr="009242A7">
      <w:rPr>
        <w:noProof/>
        <w:color w:val="747474" w:themeColor="background2" w:themeShade="80"/>
        <w:sz w:val="18"/>
        <w:szCs w:val="16"/>
      </w:rPr>
      <w:drawing>
        <wp:inline distT="0" distB="0" distL="0" distR="0" wp14:anchorId="4DABDFC5" wp14:editId="54C533A8">
          <wp:extent cx="103146" cy="103146"/>
          <wp:effectExtent l="0" t="0" r="0" b="0"/>
          <wp:docPr id="10393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5449" name=""/>
                  <pic:cNvPicPr/>
                </pic:nvPicPr>
                <pic:blipFill>
                  <a:blip r:embed="rId3"/>
                  <a:stretch>
                    <a:fillRect/>
                  </a:stretch>
                </pic:blipFill>
                <pic:spPr>
                  <a:xfrm>
                    <a:off x="0" y="0"/>
                    <a:ext cx="103363" cy="103363"/>
                  </a:xfrm>
                  <a:prstGeom prst="rect">
                    <a:avLst/>
                  </a:prstGeom>
                </pic:spPr>
              </pic:pic>
            </a:graphicData>
          </a:graphic>
        </wp:inline>
      </w:drawing>
    </w:r>
    <w:r w:rsidRPr="009242A7">
      <w:rPr>
        <w:color w:val="747474" w:themeColor="background2" w:themeShade="80"/>
        <w:sz w:val="18"/>
        <w:szCs w:val="16"/>
      </w:rPr>
      <w:t xml:space="preserve"> +593998521447, </w:t>
    </w:r>
    <w:r w:rsidRPr="009242A7">
      <w:rPr>
        <w:noProof/>
        <w:color w:val="747474" w:themeColor="background2" w:themeShade="80"/>
        <w:sz w:val="18"/>
        <w:szCs w:val="16"/>
      </w:rPr>
      <w:drawing>
        <wp:inline distT="0" distB="0" distL="0" distR="0" wp14:anchorId="44169F83" wp14:editId="7C27EA1E">
          <wp:extent cx="103052" cy="103052"/>
          <wp:effectExtent l="0" t="0" r="0" b="0"/>
          <wp:docPr id="109795451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54513" name="Imagen 1" descr="Forma&#10;&#10;El contenido generado por IA puede ser incorrecto."/>
                  <pic:cNvPicPr/>
                </pic:nvPicPr>
                <pic:blipFill>
                  <a:blip r:embed="rId4"/>
                  <a:stretch>
                    <a:fillRect/>
                  </a:stretch>
                </pic:blipFill>
                <pic:spPr>
                  <a:xfrm flipH="1">
                    <a:off x="0" y="0"/>
                    <a:ext cx="103052" cy="103052"/>
                  </a:xfrm>
                  <a:prstGeom prst="rect">
                    <a:avLst/>
                  </a:prstGeom>
                </pic:spPr>
              </pic:pic>
            </a:graphicData>
          </a:graphic>
        </wp:inline>
      </w:drawing>
    </w:r>
    <w:r w:rsidRPr="009242A7">
      <w:rPr>
        <w:color w:val="747474" w:themeColor="background2" w:themeShade="80"/>
        <w:sz w:val="18"/>
        <w:szCs w:val="16"/>
      </w:rPr>
      <w:t xml:space="preserve"> </w:t>
    </w:r>
    <w:hyperlink r:id="rId5" w:history="1">
      <w:r w:rsidRPr="009242A7">
        <w:rPr>
          <w:rStyle w:val="Hipervnculo"/>
          <w:color w:val="747474" w:themeColor="background2" w:themeShade="80"/>
          <w:sz w:val="18"/>
          <w:szCs w:val="16"/>
        </w:rPr>
        <w:t>rolo4336@gmail.com</w:t>
      </w:r>
    </w:hyperlink>
    <w:r w:rsidR="006E5B2E">
      <w:rPr>
        <w:color w:val="747474" w:themeColor="background2" w:themeShade="80"/>
        <w:sz w:val="18"/>
        <w:szCs w:val="16"/>
      </w:rPr>
      <w:t>, ref: RC20260726001</w:t>
    </w:r>
    <w:r w:rsidR="002C40C4">
      <w:rPr>
        <w:color w:val="747474" w:themeColor="background2" w:themeShade="80"/>
        <w:sz w:val="18"/>
        <w:szCs w:val="16"/>
      </w:rPr>
    </w:r>
    <w:r w:rsidR="006E5B2E">
      <w:rPr>
        <w:color w:val="747474" w:themeColor="background2" w:themeShade="80"/>
        <w:sz w:val="18"/>
        <w:szCs w:val="16"/>
      </w:rPr>
    </w:r>
    <w:r w:rsidR="00770B4A">
      <w:rPr>
        <w:color w:val="747474" w:themeColor="background2" w:themeShade="80"/>
        <w:sz w:val="18"/>
        <w:szCs w:val="16"/>
      </w:rPr>
    </w:r>
    <w:r w:rsidR="00FB5B47">
      <w:rPr>
        <w:color w:val="747474" w:themeColor="background2" w:themeShade="80"/>
        <w:sz w:val="18"/>
        <w:szCs w:val="16"/>
      </w:rPr>
    </w:r>
    <w:r w:rsidR="00770B4A">
      <w:rPr>
        <w:color w:val="747474" w:themeColor="background2" w:themeShade="80"/>
        <w:sz w:val="18"/>
        <w:szCs w:val="16"/>
      </w:rPr>
    </w:r>
    <w:r w:rsidR="006E5B2E">
      <w:rPr>
        <w:color w:val="747474" w:themeColor="background2" w:themeShade="80"/>
        <w:sz w:val="18"/>
        <w:szCs w:val="16"/>
      </w:rPr>
    </w:r>
    <w:r w:rsidR="00F67CC8">
      <w:rPr>
        <w:color w:val="747474" w:themeColor="background2" w:themeShade="80"/>
        <w:sz w:val="18"/>
        <w:szCs w:val="16"/>
      </w:rPr>
    </w:r>
  </w:p>
  <w:p w14:paraId="5F552493" w14:textId="386CF7FC" w:rsidR="00A352E7" w:rsidRDefault="00E12559" w:rsidP="00E12559">
    <w:pPr>
      <w:tabs>
        <w:tab w:val="left" w:pos="4252"/>
      </w:tabs>
    </w:pPr>
    <w:r>
      <w:rPr>
        <w:rFonts w:asciiTheme="minorHAnsi" w:eastAsiaTheme="minorHAnsi" w:hAnsiTheme="minorHAnsi" w:cstheme="minorBidi"/>
        <w:lang w:eastAsia="en-US"/>
        <w14:ligatures w14:val="standardContextua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A612" w14:textId="46CB659D" w:rsidR="00205A7A" w:rsidRDefault="00940796">
    <w:pPr>
      <w:pStyle w:val="Encabezado"/>
    </w:pPr>
    <w:r>
      <w:rPr>
        <w:noProof/>
      </w:rPr>
      <w:pict w14:anchorId="7A70A1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035018" o:spid="_x0000_s1025" type="#_x0000_t136" alt="" style="position:absolute;margin-left:0;margin-top:0;width:305pt;height:43pt;z-index:-251621376;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ptos Black&quot;;font-weight:bold;font-style:italic" string="KUYACODE S.A.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C1F"/>
    <w:multiLevelType w:val="multilevel"/>
    <w:tmpl w:val="03D8DF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64C5188"/>
    <w:multiLevelType w:val="multilevel"/>
    <w:tmpl w:val="4AA631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7655F4E"/>
    <w:multiLevelType w:val="hybridMultilevel"/>
    <w:tmpl w:val="3C8645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0D56ED"/>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C2C4D"/>
    <w:multiLevelType w:val="hybridMultilevel"/>
    <w:tmpl w:val="874622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1600EAF"/>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63B43"/>
    <w:multiLevelType w:val="multilevel"/>
    <w:tmpl w:val="69FA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117AB"/>
    <w:multiLevelType w:val="multilevel"/>
    <w:tmpl w:val="7DE66A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265D658D"/>
    <w:multiLevelType w:val="multilevel"/>
    <w:tmpl w:val="4174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817062"/>
    <w:multiLevelType w:val="multilevel"/>
    <w:tmpl w:val="7CB4AD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343457"/>
    <w:multiLevelType w:val="hybridMultilevel"/>
    <w:tmpl w:val="3B92AA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50967C6"/>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33353"/>
    <w:multiLevelType w:val="hybridMultilevel"/>
    <w:tmpl w:val="E3805838"/>
    <w:lvl w:ilvl="0" w:tplc="040A0001">
      <w:start w:val="1"/>
      <w:numFmt w:val="bullet"/>
      <w:lvlText w:val=""/>
      <w:lvlJc w:val="left"/>
      <w:pPr>
        <w:ind w:left="360" w:hanging="360"/>
      </w:pPr>
      <w:rPr>
        <w:rFonts w:ascii="Symbol" w:hAnsi="Symbol"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39FD614A"/>
    <w:multiLevelType w:val="hybridMultilevel"/>
    <w:tmpl w:val="D1BA546C"/>
    <w:lvl w:ilvl="0" w:tplc="0AACC89E">
      <w:start w:val="1"/>
      <w:numFmt w:val="decimal"/>
      <w:lvlText w:val="%1."/>
      <w:lvlJc w:val="left"/>
      <w:pPr>
        <w:ind w:left="360" w:hanging="360"/>
      </w:pPr>
      <w:rPr>
        <w:rFonts w:hint="default"/>
        <w:b/>
        <w:bCs/>
        <w:sz w:val="24"/>
        <w:szCs w:val="24"/>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14" w15:restartNumberingAfterBreak="0">
    <w:nsid w:val="3A227648"/>
    <w:multiLevelType w:val="hybridMultilevel"/>
    <w:tmpl w:val="0EF6490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2450E5D"/>
    <w:multiLevelType w:val="hybridMultilevel"/>
    <w:tmpl w:val="5FE2B48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42AC1031"/>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560C1"/>
    <w:multiLevelType w:val="hybridMultilevel"/>
    <w:tmpl w:val="406E455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4D3D63A0"/>
    <w:multiLevelType w:val="multilevel"/>
    <w:tmpl w:val="86A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A43B00"/>
    <w:multiLevelType w:val="multilevel"/>
    <w:tmpl w:val="378A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77CB1"/>
    <w:multiLevelType w:val="multilevel"/>
    <w:tmpl w:val="17927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E124C"/>
    <w:multiLevelType w:val="multilevel"/>
    <w:tmpl w:val="355C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637B6"/>
    <w:multiLevelType w:val="multilevel"/>
    <w:tmpl w:val="D1345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E521C"/>
    <w:multiLevelType w:val="multilevel"/>
    <w:tmpl w:val="4ADC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05055"/>
    <w:multiLevelType w:val="hybridMultilevel"/>
    <w:tmpl w:val="A31ABEB8"/>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25" w15:restartNumberingAfterBreak="0">
    <w:nsid w:val="724879D6"/>
    <w:multiLevelType w:val="hybridMultilevel"/>
    <w:tmpl w:val="9222B34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762823D6"/>
    <w:multiLevelType w:val="hybridMultilevel"/>
    <w:tmpl w:val="E722B462"/>
    <w:lvl w:ilvl="0" w:tplc="040A0001">
      <w:start w:val="1"/>
      <w:numFmt w:val="bullet"/>
      <w:lvlText w:val=""/>
      <w:lvlJc w:val="left"/>
      <w:pPr>
        <w:ind w:left="1287" w:hanging="360"/>
      </w:pPr>
      <w:rPr>
        <w:rFonts w:ascii="Symbol" w:hAnsi="Symbol" w:hint="default"/>
      </w:rPr>
    </w:lvl>
    <w:lvl w:ilvl="1" w:tplc="040A0003" w:tentative="1">
      <w:start w:val="1"/>
      <w:numFmt w:val="bullet"/>
      <w:lvlText w:val="o"/>
      <w:lvlJc w:val="left"/>
      <w:pPr>
        <w:ind w:left="2007" w:hanging="360"/>
      </w:pPr>
      <w:rPr>
        <w:rFonts w:ascii="Courier New" w:hAnsi="Courier New" w:cs="Courier New" w:hint="default"/>
      </w:rPr>
    </w:lvl>
    <w:lvl w:ilvl="2" w:tplc="040A0005" w:tentative="1">
      <w:start w:val="1"/>
      <w:numFmt w:val="bullet"/>
      <w:lvlText w:val=""/>
      <w:lvlJc w:val="left"/>
      <w:pPr>
        <w:ind w:left="2727" w:hanging="360"/>
      </w:pPr>
      <w:rPr>
        <w:rFonts w:ascii="Wingdings" w:hAnsi="Wingdings" w:hint="default"/>
      </w:rPr>
    </w:lvl>
    <w:lvl w:ilvl="3" w:tplc="040A0001" w:tentative="1">
      <w:start w:val="1"/>
      <w:numFmt w:val="bullet"/>
      <w:lvlText w:val=""/>
      <w:lvlJc w:val="left"/>
      <w:pPr>
        <w:ind w:left="3447" w:hanging="360"/>
      </w:pPr>
      <w:rPr>
        <w:rFonts w:ascii="Symbol" w:hAnsi="Symbol" w:hint="default"/>
      </w:rPr>
    </w:lvl>
    <w:lvl w:ilvl="4" w:tplc="040A0003" w:tentative="1">
      <w:start w:val="1"/>
      <w:numFmt w:val="bullet"/>
      <w:lvlText w:val="o"/>
      <w:lvlJc w:val="left"/>
      <w:pPr>
        <w:ind w:left="4167" w:hanging="360"/>
      </w:pPr>
      <w:rPr>
        <w:rFonts w:ascii="Courier New" w:hAnsi="Courier New" w:cs="Courier New" w:hint="default"/>
      </w:rPr>
    </w:lvl>
    <w:lvl w:ilvl="5" w:tplc="040A0005" w:tentative="1">
      <w:start w:val="1"/>
      <w:numFmt w:val="bullet"/>
      <w:lvlText w:val=""/>
      <w:lvlJc w:val="left"/>
      <w:pPr>
        <w:ind w:left="4887" w:hanging="360"/>
      </w:pPr>
      <w:rPr>
        <w:rFonts w:ascii="Wingdings" w:hAnsi="Wingdings" w:hint="default"/>
      </w:rPr>
    </w:lvl>
    <w:lvl w:ilvl="6" w:tplc="040A0001" w:tentative="1">
      <w:start w:val="1"/>
      <w:numFmt w:val="bullet"/>
      <w:lvlText w:val=""/>
      <w:lvlJc w:val="left"/>
      <w:pPr>
        <w:ind w:left="5607" w:hanging="360"/>
      </w:pPr>
      <w:rPr>
        <w:rFonts w:ascii="Symbol" w:hAnsi="Symbol" w:hint="default"/>
      </w:rPr>
    </w:lvl>
    <w:lvl w:ilvl="7" w:tplc="040A0003" w:tentative="1">
      <w:start w:val="1"/>
      <w:numFmt w:val="bullet"/>
      <w:lvlText w:val="o"/>
      <w:lvlJc w:val="left"/>
      <w:pPr>
        <w:ind w:left="6327" w:hanging="360"/>
      </w:pPr>
      <w:rPr>
        <w:rFonts w:ascii="Courier New" w:hAnsi="Courier New" w:cs="Courier New" w:hint="default"/>
      </w:rPr>
    </w:lvl>
    <w:lvl w:ilvl="8" w:tplc="040A0005" w:tentative="1">
      <w:start w:val="1"/>
      <w:numFmt w:val="bullet"/>
      <w:lvlText w:val=""/>
      <w:lvlJc w:val="left"/>
      <w:pPr>
        <w:ind w:left="7047" w:hanging="360"/>
      </w:pPr>
      <w:rPr>
        <w:rFonts w:ascii="Wingdings" w:hAnsi="Wingdings" w:hint="default"/>
      </w:rPr>
    </w:lvl>
  </w:abstractNum>
  <w:abstractNum w:abstractNumId="27" w15:restartNumberingAfterBreak="0">
    <w:nsid w:val="7AF42698"/>
    <w:multiLevelType w:val="hybridMultilevel"/>
    <w:tmpl w:val="ACD4BA3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7D1F5F2D"/>
    <w:multiLevelType w:val="hybridMultilevel"/>
    <w:tmpl w:val="00D8CD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7DCF488C"/>
    <w:multiLevelType w:val="hybridMultilevel"/>
    <w:tmpl w:val="E47E7A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00">
    <w:lvl w:ilvl="0">
      <w:start w:val="1"/>
      <w:numFmt w:val="bullet"/>
      <w:lvlText w:val=""/>
      <w:lvlJc w:val="left"/>
      <w:pPr>
        <w:ind w:left="720" w:hanging="360"/>
      </w:pPr>
      <w:rPr>
        <w:rFonts w:ascii="Symbol" w:hAnsi="Symbol"/>
      </w:rPr>
    </w:lvl>
    <w:lvl w:ilvl="1">
      <w:start w:val="1"/>
      <w:numFmt w:val="bullet"/>
      <w:lvlText w:val=""/>
      <w:lvlJc w:val="left"/>
      <w:pPr>
        <w:ind w:left="1440" w:hanging="360"/>
      </w:pPr>
      <w:rPr>
        <w:rFonts w:ascii="Symbol" w:hAnsi="Symbol"/>
      </w:rPr>
    </w:lvl>
    <w:lvl w:ilvl="2">
      <w:start w:val="1"/>
      <w:numFmt w:val="bullet"/>
      <w:lvlText w:val=""/>
      <w:lvlJc w:val="left"/>
      <w:pPr>
        <w:ind w:left="2160" w:hanging="360"/>
      </w:pPr>
      <w:rPr>
        <w:rFonts w:ascii="Symbol" w:hAnsi="Symbol"/>
      </w:rPr>
    </w:lvl>
  </w:abstractNum>
  <w:abstractNum w:abstractNumId="90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abstractNum>
  <w:num w:numId="1" w16cid:durableId="1390104532">
    <w:abstractNumId w:val="21"/>
  </w:num>
  <w:num w:numId="2" w16cid:durableId="1535462436">
    <w:abstractNumId w:val="8"/>
  </w:num>
  <w:num w:numId="3" w16cid:durableId="2019308177">
    <w:abstractNumId w:val="9"/>
  </w:num>
  <w:num w:numId="4" w16cid:durableId="780539748">
    <w:abstractNumId w:val="1"/>
  </w:num>
  <w:num w:numId="5" w16cid:durableId="1818568263">
    <w:abstractNumId w:val="7"/>
  </w:num>
  <w:num w:numId="6" w16cid:durableId="345643792">
    <w:abstractNumId w:val="0"/>
  </w:num>
  <w:num w:numId="7" w16cid:durableId="1222907402">
    <w:abstractNumId w:val="13"/>
  </w:num>
  <w:num w:numId="8" w16cid:durableId="1623339357">
    <w:abstractNumId w:val="28"/>
  </w:num>
  <w:num w:numId="9" w16cid:durableId="304089321">
    <w:abstractNumId w:val="27"/>
  </w:num>
  <w:num w:numId="10" w16cid:durableId="626161663">
    <w:abstractNumId w:val="23"/>
  </w:num>
  <w:num w:numId="11" w16cid:durableId="523136453">
    <w:abstractNumId w:val="19"/>
  </w:num>
  <w:num w:numId="12" w16cid:durableId="2120831452">
    <w:abstractNumId w:val="22"/>
  </w:num>
  <w:num w:numId="13" w16cid:durableId="383483219">
    <w:abstractNumId w:val="6"/>
  </w:num>
  <w:num w:numId="14" w16cid:durableId="626083551">
    <w:abstractNumId w:val="10"/>
  </w:num>
  <w:num w:numId="15" w16cid:durableId="1503399704">
    <w:abstractNumId w:val="14"/>
  </w:num>
  <w:num w:numId="16" w16cid:durableId="54939382">
    <w:abstractNumId w:val="26"/>
  </w:num>
  <w:num w:numId="17" w16cid:durableId="2050647086">
    <w:abstractNumId w:val="5"/>
  </w:num>
  <w:num w:numId="18" w16cid:durableId="1465197454">
    <w:abstractNumId w:val="11"/>
  </w:num>
  <w:num w:numId="19" w16cid:durableId="1877884196">
    <w:abstractNumId w:val="20"/>
  </w:num>
  <w:num w:numId="20" w16cid:durableId="120656020">
    <w:abstractNumId w:val="3"/>
  </w:num>
  <w:num w:numId="21" w16cid:durableId="79764433">
    <w:abstractNumId w:val="18"/>
  </w:num>
  <w:num w:numId="22" w16cid:durableId="1542478011">
    <w:abstractNumId w:val="16"/>
  </w:num>
  <w:num w:numId="23" w16cid:durableId="15230867">
    <w:abstractNumId w:val="17"/>
  </w:num>
  <w:num w:numId="24" w16cid:durableId="1511332998">
    <w:abstractNumId w:val="25"/>
  </w:num>
  <w:num w:numId="25" w16cid:durableId="992873065">
    <w:abstractNumId w:val="29"/>
  </w:num>
  <w:num w:numId="26" w16cid:durableId="1305503318">
    <w:abstractNumId w:val="15"/>
  </w:num>
  <w:num w:numId="27" w16cid:durableId="257101935">
    <w:abstractNumId w:val="4"/>
  </w:num>
  <w:num w:numId="28" w16cid:durableId="2031762390">
    <w:abstractNumId w:val="24"/>
  </w:num>
  <w:num w:numId="29" w16cid:durableId="309411288">
    <w:abstractNumId w:val="2"/>
  </w:num>
  <w:num w:numId="30" w16cid:durableId="937174444">
    <w:abstractNumId w:val="12"/>
  </w:num>
  <w:num w:numId="900">
    <w:abstractNumId w:val="900"/>
  </w:num>
  <w:num w:numId="901">
    <w:abstractNumId w:val="9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98F"/>
    <w:rsid w:val="00017AF9"/>
    <w:rsid w:val="00022D1C"/>
    <w:rsid w:val="00030BD0"/>
    <w:rsid w:val="000364C1"/>
    <w:rsid w:val="000376A0"/>
    <w:rsid w:val="00041214"/>
    <w:rsid w:val="000605C0"/>
    <w:rsid w:val="00072D91"/>
    <w:rsid w:val="00083A12"/>
    <w:rsid w:val="0009567E"/>
    <w:rsid w:val="000C19F5"/>
    <w:rsid w:val="000C24CA"/>
    <w:rsid w:val="000C36CB"/>
    <w:rsid w:val="000E2CB8"/>
    <w:rsid w:val="000F194E"/>
    <w:rsid w:val="000F29DB"/>
    <w:rsid w:val="001149C9"/>
    <w:rsid w:val="0012636C"/>
    <w:rsid w:val="00165366"/>
    <w:rsid w:val="001B4F0C"/>
    <w:rsid w:val="001E5ADB"/>
    <w:rsid w:val="001E6227"/>
    <w:rsid w:val="001E7140"/>
    <w:rsid w:val="001F2419"/>
    <w:rsid w:val="00205A7A"/>
    <w:rsid w:val="002206DE"/>
    <w:rsid w:val="00241951"/>
    <w:rsid w:val="00244084"/>
    <w:rsid w:val="00244D2A"/>
    <w:rsid w:val="00257A29"/>
    <w:rsid w:val="00281693"/>
    <w:rsid w:val="002837CC"/>
    <w:rsid w:val="00292F6F"/>
    <w:rsid w:val="00295F1C"/>
    <w:rsid w:val="002A7718"/>
    <w:rsid w:val="002B1CAE"/>
    <w:rsid w:val="002C40C4"/>
    <w:rsid w:val="002D1331"/>
    <w:rsid w:val="002E1D5C"/>
    <w:rsid w:val="002F4AA1"/>
    <w:rsid w:val="002F616C"/>
    <w:rsid w:val="002F7AF1"/>
    <w:rsid w:val="00337CD1"/>
    <w:rsid w:val="00370939"/>
    <w:rsid w:val="0037290B"/>
    <w:rsid w:val="00374041"/>
    <w:rsid w:val="00384A3C"/>
    <w:rsid w:val="003934CC"/>
    <w:rsid w:val="003974F6"/>
    <w:rsid w:val="003A207B"/>
    <w:rsid w:val="003B564B"/>
    <w:rsid w:val="003E3E34"/>
    <w:rsid w:val="003E7913"/>
    <w:rsid w:val="003F650C"/>
    <w:rsid w:val="00405785"/>
    <w:rsid w:val="00406C11"/>
    <w:rsid w:val="00410E44"/>
    <w:rsid w:val="00413E62"/>
    <w:rsid w:val="004174D9"/>
    <w:rsid w:val="00427192"/>
    <w:rsid w:val="00430195"/>
    <w:rsid w:val="0044469A"/>
    <w:rsid w:val="004862CA"/>
    <w:rsid w:val="00490CFB"/>
    <w:rsid w:val="004979C8"/>
    <w:rsid w:val="004F09CE"/>
    <w:rsid w:val="004F6A88"/>
    <w:rsid w:val="00501066"/>
    <w:rsid w:val="0054790F"/>
    <w:rsid w:val="00555728"/>
    <w:rsid w:val="0057236F"/>
    <w:rsid w:val="0057319E"/>
    <w:rsid w:val="00574F4F"/>
    <w:rsid w:val="00590BBD"/>
    <w:rsid w:val="005A29A9"/>
    <w:rsid w:val="005A5FD0"/>
    <w:rsid w:val="005B6232"/>
    <w:rsid w:val="005B7FA1"/>
    <w:rsid w:val="005D5560"/>
    <w:rsid w:val="005E6E7D"/>
    <w:rsid w:val="006015E6"/>
    <w:rsid w:val="00612065"/>
    <w:rsid w:val="00646B7F"/>
    <w:rsid w:val="00654B22"/>
    <w:rsid w:val="006701CB"/>
    <w:rsid w:val="006A4979"/>
    <w:rsid w:val="006A60A6"/>
    <w:rsid w:val="006A6AE6"/>
    <w:rsid w:val="006B5709"/>
    <w:rsid w:val="006E1F5F"/>
    <w:rsid w:val="006E5B2E"/>
    <w:rsid w:val="006E7A6F"/>
    <w:rsid w:val="006F1715"/>
    <w:rsid w:val="00703B0F"/>
    <w:rsid w:val="0072473F"/>
    <w:rsid w:val="00751288"/>
    <w:rsid w:val="00770B4A"/>
    <w:rsid w:val="00771DFD"/>
    <w:rsid w:val="00774597"/>
    <w:rsid w:val="00774739"/>
    <w:rsid w:val="00797316"/>
    <w:rsid w:val="00797473"/>
    <w:rsid w:val="007B0E97"/>
    <w:rsid w:val="007B2E77"/>
    <w:rsid w:val="007C41C4"/>
    <w:rsid w:val="007C4F44"/>
    <w:rsid w:val="007D62CE"/>
    <w:rsid w:val="007E0AC7"/>
    <w:rsid w:val="008051D6"/>
    <w:rsid w:val="00811338"/>
    <w:rsid w:val="00812EAA"/>
    <w:rsid w:val="0082757D"/>
    <w:rsid w:val="00853962"/>
    <w:rsid w:val="00863ECA"/>
    <w:rsid w:val="008826FA"/>
    <w:rsid w:val="008973A7"/>
    <w:rsid w:val="008A1830"/>
    <w:rsid w:val="008A7542"/>
    <w:rsid w:val="008B6CF6"/>
    <w:rsid w:val="008D4491"/>
    <w:rsid w:val="008E041E"/>
    <w:rsid w:val="008E3792"/>
    <w:rsid w:val="008E3C1D"/>
    <w:rsid w:val="008E5D84"/>
    <w:rsid w:val="008F4497"/>
    <w:rsid w:val="0090049D"/>
    <w:rsid w:val="009027B5"/>
    <w:rsid w:val="009242A7"/>
    <w:rsid w:val="00940796"/>
    <w:rsid w:val="0094310A"/>
    <w:rsid w:val="00952BEE"/>
    <w:rsid w:val="0097773B"/>
    <w:rsid w:val="00985BD9"/>
    <w:rsid w:val="00986CEA"/>
    <w:rsid w:val="009B4FED"/>
    <w:rsid w:val="009D74D7"/>
    <w:rsid w:val="009E487F"/>
    <w:rsid w:val="009E522B"/>
    <w:rsid w:val="009E761E"/>
    <w:rsid w:val="009F3C2A"/>
    <w:rsid w:val="009F6CAC"/>
    <w:rsid w:val="00A16F6F"/>
    <w:rsid w:val="00A352E7"/>
    <w:rsid w:val="00A40BBA"/>
    <w:rsid w:val="00A472DE"/>
    <w:rsid w:val="00A56FA3"/>
    <w:rsid w:val="00A6664A"/>
    <w:rsid w:val="00A77133"/>
    <w:rsid w:val="00A84AD8"/>
    <w:rsid w:val="00A87268"/>
    <w:rsid w:val="00A9240A"/>
    <w:rsid w:val="00AA4D0C"/>
    <w:rsid w:val="00AA784A"/>
    <w:rsid w:val="00AA7BEA"/>
    <w:rsid w:val="00AB1647"/>
    <w:rsid w:val="00AB504E"/>
    <w:rsid w:val="00AC5DAD"/>
    <w:rsid w:val="00AC75A8"/>
    <w:rsid w:val="00AD2BC7"/>
    <w:rsid w:val="00AD7BB2"/>
    <w:rsid w:val="00AE635A"/>
    <w:rsid w:val="00AF0F2A"/>
    <w:rsid w:val="00B042ED"/>
    <w:rsid w:val="00B13501"/>
    <w:rsid w:val="00B1500C"/>
    <w:rsid w:val="00B15535"/>
    <w:rsid w:val="00B3528E"/>
    <w:rsid w:val="00B45187"/>
    <w:rsid w:val="00B45D81"/>
    <w:rsid w:val="00B50F89"/>
    <w:rsid w:val="00B52437"/>
    <w:rsid w:val="00B54E6C"/>
    <w:rsid w:val="00B73ADC"/>
    <w:rsid w:val="00B77B15"/>
    <w:rsid w:val="00B8006A"/>
    <w:rsid w:val="00B847A6"/>
    <w:rsid w:val="00B92DD8"/>
    <w:rsid w:val="00B95500"/>
    <w:rsid w:val="00B971FD"/>
    <w:rsid w:val="00BA6302"/>
    <w:rsid w:val="00BD4F61"/>
    <w:rsid w:val="00BE0CF3"/>
    <w:rsid w:val="00C200B3"/>
    <w:rsid w:val="00C73E52"/>
    <w:rsid w:val="00C851F0"/>
    <w:rsid w:val="00C9057E"/>
    <w:rsid w:val="00C91054"/>
    <w:rsid w:val="00CA74B7"/>
    <w:rsid w:val="00CB636A"/>
    <w:rsid w:val="00CC498F"/>
    <w:rsid w:val="00CE309E"/>
    <w:rsid w:val="00CF1859"/>
    <w:rsid w:val="00D0037A"/>
    <w:rsid w:val="00D00555"/>
    <w:rsid w:val="00D067DA"/>
    <w:rsid w:val="00D069AE"/>
    <w:rsid w:val="00D168BE"/>
    <w:rsid w:val="00D200A9"/>
    <w:rsid w:val="00D27B1C"/>
    <w:rsid w:val="00D320CE"/>
    <w:rsid w:val="00D4046A"/>
    <w:rsid w:val="00D62284"/>
    <w:rsid w:val="00D80B50"/>
    <w:rsid w:val="00DA18DC"/>
    <w:rsid w:val="00DC1E2E"/>
    <w:rsid w:val="00DC3CEC"/>
    <w:rsid w:val="00DE34DC"/>
    <w:rsid w:val="00DE5859"/>
    <w:rsid w:val="00DE7E44"/>
    <w:rsid w:val="00E0720E"/>
    <w:rsid w:val="00E12559"/>
    <w:rsid w:val="00E23F6B"/>
    <w:rsid w:val="00E302B3"/>
    <w:rsid w:val="00E64ABC"/>
    <w:rsid w:val="00E7184B"/>
    <w:rsid w:val="00E759BD"/>
    <w:rsid w:val="00E85B12"/>
    <w:rsid w:val="00E961AA"/>
    <w:rsid w:val="00EB2E55"/>
    <w:rsid w:val="00EB3BB0"/>
    <w:rsid w:val="00EC2BD8"/>
    <w:rsid w:val="00EC763C"/>
    <w:rsid w:val="00EF0C2F"/>
    <w:rsid w:val="00F2567D"/>
    <w:rsid w:val="00F3571E"/>
    <w:rsid w:val="00F36576"/>
    <w:rsid w:val="00F42057"/>
    <w:rsid w:val="00F537A8"/>
    <w:rsid w:val="00F67CC8"/>
    <w:rsid w:val="00F72796"/>
    <w:rsid w:val="00F8497A"/>
    <w:rsid w:val="00F94764"/>
    <w:rsid w:val="00FB1837"/>
    <w:rsid w:val="00FB5B47"/>
    <w:rsid w:val="00FC7C45"/>
    <w:rsid w:val="00FE7133"/>
    <w:rsid w:val="00FF4BDA"/>
    <w:rsid w:val="00FF771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CAB12"/>
  <w15:chartTrackingRefBased/>
  <w15:docId w15:val="{981E5651-A654-2E4D-AD44-CB3D59BC0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BD9"/>
    <w:pPr>
      <w:spacing w:after="0" w:line="240" w:lineRule="auto"/>
    </w:pPr>
    <w:rPr>
      <w:rFonts w:ascii="Times New Roman" w:eastAsia="Times New Roman" w:hAnsi="Times New Roman" w:cs="Times New Roman"/>
      <w:kern w:val="0"/>
      <w:lang w:eastAsia="es-ES_tradnl"/>
      <w14:ligatures w14:val="none"/>
    </w:rPr>
  </w:style>
  <w:style w:type="paragraph" w:styleId="Ttulo1">
    <w:name w:val="heading 1"/>
    <w:basedOn w:val="Normal"/>
    <w:next w:val="Normal"/>
    <w:link w:val="Ttulo1Car"/>
    <w:uiPriority w:val="9"/>
    <w:qFormat/>
    <w:rsid w:val="00CC49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C49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C49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C49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49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498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498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498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498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49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C49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C49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49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49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49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49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49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498F"/>
    <w:rPr>
      <w:rFonts w:eastAsiaTheme="majorEastAsia" w:cstheme="majorBidi"/>
      <w:color w:val="272727" w:themeColor="text1" w:themeTint="D8"/>
    </w:rPr>
  </w:style>
  <w:style w:type="paragraph" w:styleId="Ttulo">
    <w:name w:val="Title"/>
    <w:basedOn w:val="Normal"/>
    <w:next w:val="Normal"/>
    <w:link w:val="TtuloCar"/>
    <w:uiPriority w:val="10"/>
    <w:qFormat/>
    <w:rsid w:val="00CC498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49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49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49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498F"/>
    <w:pPr>
      <w:spacing w:before="160"/>
      <w:jc w:val="center"/>
    </w:pPr>
    <w:rPr>
      <w:i/>
      <w:iCs/>
      <w:color w:val="404040" w:themeColor="text1" w:themeTint="BF"/>
    </w:rPr>
  </w:style>
  <w:style w:type="character" w:customStyle="1" w:styleId="CitaCar">
    <w:name w:val="Cita Car"/>
    <w:basedOn w:val="Fuentedeprrafopredeter"/>
    <w:link w:val="Cita"/>
    <w:uiPriority w:val="29"/>
    <w:rsid w:val="00CC498F"/>
    <w:rPr>
      <w:i/>
      <w:iCs/>
      <w:color w:val="404040" w:themeColor="text1" w:themeTint="BF"/>
    </w:rPr>
  </w:style>
  <w:style w:type="paragraph" w:styleId="Prrafodelista">
    <w:name w:val="List Paragraph"/>
    <w:basedOn w:val="Normal"/>
    <w:uiPriority w:val="34"/>
    <w:qFormat/>
    <w:rsid w:val="00CC498F"/>
    <w:pPr>
      <w:ind w:left="720"/>
      <w:contextualSpacing/>
    </w:pPr>
  </w:style>
  <w:style w:type="character" w:styleId="nfasisintenso">
    <w:name w:val="Intense Emphasis"/>
    <w:basedOn w:val="Fuentedeprrafopredeter"/>
    <w:uiPriority w:val="21"/>
    <w:qFormat/>
    <w:rsid w:val="00CC498F"/>
    <w:rPr>
      <w:i/>
      <w:iCs/>
      <w:color w:val="0F4761" w:themeColor="accent1" w:themeShade="BF"/>
    </w:rPr>
  </w:style>
  <w:style w:type="paragraph" w:styleId="Citadestacada">
    <w:name w:val="Intense Quote"/>
    <w:basedOn w:val="Normal"/>
    <w:next w:val="Normal"/>
    <w:link w:val="CitadestacadaCar"/>
    <w:uiPriority w:val="30"/>
    <w:qFormat/>
    <w:rsid w:val="00CC49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498F"/>
    <w:rPr>
      <w:i/>
      <w:iCs/>
      <w:color w:val="0F4761" w:themeColor="accent1" w:themeShade="BF"/>
    </w:rPr>
  </w:style>
  <w:style w:type="character" w:styleId="Referenciaintensa">
    <w:name w:val="Intense Reference"/>
    <w:basedOn w:val="Fuentedeprrafopredeter"/>
    <w:uiPriority w:val="32"/>
    <w:qFormat/>
    <w:rsid w:val="00CC498F"/>
    <w:rPr>
      <w:b/>
      <w:bCs/>
      <w:smallCaps/>
      <w:color w:val="0F4761" w:themeColor="accent1" w:themeShade="BF"/>
      <w:spacing w:val="5"/>
    </w:rPr>
  </w:style>
  <w:style w:type="table" w:styleId="Tablaconcuadrcula">
    <w:name w:val="Table Grid"/>
    <w:basedOn w:val="Tablanormal"/>
    <w:uiPriority w:val="39"/>
    <w:rsid w:val="00083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083A12"/>
    <w:pPr>
      <w:spacing w:after="200"/>
    </w:pPr>
    <w:rPr>
      <w:i/>
      <w:iCs/>
      <w:color w:val="0E2841" w:themeColor="text2"/>
      <w:sz w:val="18"/>
      <w:szCs w:val="18"/>
    </w:rPr>
  </w:style>
  <w:style w:type="paragraph" w:styleId="NormalWeb">
    <w:name w:val="Normal (Web)"/>
    <w:basedOn w:val="Normal"/>
    <w:uiPriority w:val="99"/>
    <w:semiHidden/>
    <w:unhideWhenUsed/>
    <w:rsid w:val="00FF7713"/>
    <w:pPr>
      <w:spacing w:before="100" w:beforeAutospacing="1" w:after="100" w:afterAutospacing="1"/>
    </w:pPr>
  </w:style>
  <w:style w:type="character" w:styleId="Fuerte">
    <w:name w:val="Strong"/>
    <w:basedOn w:val="Fuentedeprrafopredeter"/>
    <w:uiPriority w:val="22"/>
    <w:qFormat/>
    <w:rsid w:val="00FF7713"/>
    <w:rPr>
      <w:b/>
      <w:bCs/>
    </w:rPr>
  </w:style>
  <w:style w:type="paragraph" w:customStyle="1" w:styleId="paragraph">
    <w:name w:val="paragraph"/>
    <w:basedOn w:val="Normal"/>
    <w:rsid w:val="00E64ABC"/>
    <w:pPr>
      <w:spacing w:before="100" w:beforeAutospacing="1" w:after="100" w:afterAutospacing="1"/>
    </w:pPr>
  </w:style>
  <w:style w:type="character" w:customStyle="1" w:styleId="normaltextrun">
    <w:name w:val="normaltextrun"/>
    <w:basedOn w:val="Fuentedeprrafopredeter"/>
    <w:rsid w:val="00E64ABC"/>
  </w:style>
  <w:style w:type="character" w:customStyle="1" w:styleId="eop">
    <w:name w:val="eop"/>
    <w:basedOn w:val="Fuentedeprrafopredeter"/>
    <w:rsid w:val="00E64ABC"/>
  </w:style>
  <w:style w:type="character" w:customStyle="1" w:styleId="wacimagecontainer">
    <w:name w:val="wacimagecontainer"/>
    <w:basedOn w:val="Fuentedeprrafopredeter"/>
    <w:rsid w:val="00E64ABC"/>
  </w:style>
  <w:style w:type="paragraph" w:styleId="Textoindependiente">
    <w:name w:val="Body Text"/>
    <w:basedOn w:val="Normal"/>
    <w:link w:val="TextoindependienteCar"/>
    <w:rsid w:val="000C24CA"/>
    <w:pPr>
      <w:spacing w:after="140" w:line="276" w:lineRule="auto"/>
    </w:pPr>
  </w:style>
  <w:style w:type="character" w:customStyle="1" w:styleId="TextoindependienteCar">
    <w:name w:val="Texto independiente Car"/>
    <w:basedOn w:val="Fuentedeprrafopredeter"/>
    <w:link w:val="Textoindependiente"/>
    <w:rsid w:val="000C24CA"/>
    <w:rPr>
      <w:rFonts w:ascii="Liberation Serif" w:eastAsia="NSimSun" w:hAnsi="Liberation Serif" w:cs="Lucida Sans"/>
      <w:lang w:eastAsia="zh-CN" w:bidi="hi-IN"/>
      <w14:ligatures w14:val="none"/>
    </w:rPr>
  </w:style>
  <w:style w:type="paragraph" w:customStyle="1" w:styleId="Contenidodelatabla">
    <w:name w:val="Contenido de la tabla"/>
    <w:basedOn w:val="Normal"/>
    <w:qFormat/>
    <w:rsid w:val="000C24CA"/>
    <w:pPr>
      <w:widowControl w:val="0"/>
      <w:suppressLineNumbers/>
    </w:pPr>
  </w:style>
  <w:style w:type="paragraph" w:customStyle="1" w:styleId="Ttulodelatabla">
    <w:name w:val="Título de la tabla"/>
    <w:basedOn w:val="Contenidodelatabla"/>
    <w:qFormat/>
    <w:rsid w:val="000C24CA"/>
    <w:pPr>
      <w:jc w:val="center"/>
    </w:pPr>
    <w:rPr>
      <w:b/>
      <w:bCs/>
    </w:rPr>
  </w:style>
  <w:style w:type="paragraph" w:styleId="Encabezado">
    <w:name w:val="header"/>
    <w:basedOn w:val="Normal"/>
    <w:link w:val="EncabezadoCar"/>
    <w:uiPriority w:val="99"/>
    <w:unhideWhenUsed/>
    <w:rsid w:val="00AA7BEA"/>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AA7BEA"/>
    <w:rPr>
      <w:rFonts w:ascii="Liberation Serif" w:eastAsia="NSimSun" w:hAnsi="Liberation Serif" w:cs="Mangal"/>
      <w:szCs w:val="21"/>
      <w:lang w:eastAsia="zh-CN" w:bidi="hi-IN"/>
      <w14:ligatures w14:val="none"/>
    </w:rPr>
  </w:style>
  <w:style w:type="paragraph" w:styleId="Piedepgina">
    <w:name w:val="footer"/>
    <w:basedOn w:val="Normal"/>
    <w:link w:val="PiedepginaCar"/>
    <w:uiPriority w:val="99"/>
    <w:unhideWhenUsed/>
    <w:rsid w:val="00AA7BEA"/>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AA7BEA"/>
    <w:rPr>
      <w:rFonts w:ascii="Liberation Serif" w:eastAsia="NSimSun" w:hAnsi="Liberation Serif" w:cs="Mangal"/>
      <w:szCs w:val="21"/>
      <w:lang w:eastAsia="zh-CN" w:bidi="hi-IN"/>
      <w14:ligatures w14:val="none"/>
    </w:rPr>
  </w:style>
  <w:style w:type="paragraph" w:styleId="Textonotapie">
    <w:name w:val="footnote text"/>
    <w:basedOn w:val="Normal"/>
    <w:link w:val="TextonotapieCar"/>
    <w:uiPriority w:val="99"/>
    <w:semiHidden/>
    <w:unhideWhenUsed/>
    <w:rsid w:val="006E1F5F"/>
    <w:rPr>
      <w:rFonts w:cs="Mangal"/>
      <w:sz w:val="20"/>
      <w:szCs w:val="18"/>
    </w:rPr>
  </w:style>
  <w:style w:type="character" w:customStyle="1" w:styleId="TextonotapieCar">
    <w:name w:val="Texto nota pie Car"/>
    <w:basedOn w:val="Fuentedeprrafopredeter"/>
    <w:link w:val="Textonotapie"/>
    <w:uiPriority w:val="99"/>
    <w:semiHidden/>
    <w:rsid w:val="006E1F5F"/>
    <w:rPr>
      <w:rFonts w:ascii="Liberation Serif" w:eastAsia="NSimSun" w:hAnsi="Liberation Serif" w:cs="Mangal"/>
      <w:sz w:val="20"/>
      <w:szCs w:val="18"/>
      <w:lang w:eastAsia="zh-CN" w:bidi="hi-IN"/>
      <w14:ligatures w14:val="none"/>
    </w:rPr>
  </w:style>
  <w:style w:type="character" w:styleId="Refdenotaalpie">
    <w:name w:val="footnote reference"/>
    <w:basedOn w:val="Fuentedeprrafopredeter"/>
    <w:uiPriority w:val="99"/>
    <w:semiHidden/>
    <w:unhideWhenUsed/>
    <w:rsid w:val="006E1F5F"/>
    <w:rPr>
      <w:vertAlign w:val="superscript"/>
    </w:rPr>
  </w:style>
  <w:style w:type="character" w:styleId="Hipervnculo">
    <w:name w:val="Hyperlink"/>
    <w:basedOn w:val="Fuentedeprrafopredeter"/>
    <w:uiPriority w:val="99"/>
    <w:unhideWhenUsed/>
    <w:rsid w:val="008A1830"/>
    <w:rPr>
      <w:color w:val="467886"/>
      <w:u w:val="single"/>
    </w:rPr>
  </w:style>
  <w:style w:type="character" w:styleId="Mencinsinresolver">
    <w:name w:val="Unresolved Mention"/>
    <w:basedOn w:val="Fuentedeprrafopredeter"/>
    <w:uiPriority w:val="99"/>
    <w:semiHidden/>
    <w:unhideWhenUsed/>
    <w:rsid w:val="00E12559"/>
    <w:rPr>
      <w:color w:val="605E5C"/>
      <w:shd w:val="clear" w:color="auto" w:fill="E1DFDD"/>
    </w:rPr>
  </w:style>
  <w:style w:type="paragraph" w:customStyle="1" w:styleId="whitespace-normal">
    <w:name w:val="whitespace-normal"/>
    <w:basedOn w:val="Normal"/>
    <w:rsid w:val="00F537A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15469">
      <w:bodyDiv w:val="1"/>
      <w:marLeft w:val="0"/>
      <w:marRight w:val="0"/>
      <w:marTop w:val="0"/>
      <w:marBottom w:val="0"/>
      <w:divBdr>
        <w:top w:val="none" w:sz="0" w:space="0" w:color="auto"/>
        <w:left w:val="none" w:sz="0" w:space="0" w:color="auto"/>
        <w:bottom w:val="none" w:sz="0" w:space="0" w:color="auto"/>
        <w:right w:val="none" w:sz="0" w:space="0" w:color="auto"/>
      </w:divBdr>
    </w:div>
    <w:div w:id="820346745">
      <w:bodyDiv w:val="1"/>
      <w:marLeft w:val="0"/>
      <w:marRight w:val="0"/>
      <w:marTop w:val="0"/>
      <w:marBottom w:val="0"/>
      <w:divBdr>
        <w:top w:val="none" w:sz="0" w:space="0" w:color="auto"/>
        <w:left w:val="none" w:sz="0" w:space="0" w:color="auto"/>
        <w:bottom w:val="none" w:sz="0" w:space="0" w:color="auto"/>
        <w:right w:val="none" w:sz="0" w:space="0" w:color="auto"/>
      </w:divBdr>
      <w:divsChild>
        <w:div w:id="1192185674">
          <w:marLeft w:val="0"/>
          <w:marRight w:val="0"/>
          <w:marTop w:val="0"/>
          <w:marBottom w:val="0"/>
          <w:divBdr>
            <w:top w:val="none" w:sz="0" w:space="0" w:color="auto"/>
            <w:left w:val="none" w:sz="0" w:space="0" w:color="auto"/>
            <w:bottom w:val="none" w:sz="0" w:space="0" w:color="auto"/>
            <w:right w:val="none" w:sz="0" w:space="0" w:color="auto"/>
          </w:divBdr>
        </w:div>
        <w:div w:id="1963076012">
          <w:marLeft w:val="0"/>
          <w:marRight w:val="0"/>
          <w:marTop w:val="0"/>
          <w:marBottom w:val="0"/>
          <w:divBdr>
            <w:top w:val="none" w:sz="0" w:space="0" w:color="auto"/>
            <w:left w:val="none" w:sz="0" w:space="0" w:color="auto"/>
            <w:bottom w:val="none" w:sz="0" w:space="0" w:color="auto"/>
            <w:right w:val="none" w:sz="0" w:space="0" w:color="auto"/>
          </w:divBdr>
        </w:div>
        <w:div w:id="737437952">
          <w:marLeft w:val="0"/>
          <w:marRight w:val="0"/>
          <w:marTop w:val="0"/>
          <w:marBottom w:val="0"/>
          <w:divBdr>
            <w:top w:val="none" w:sz="0" w:space="0" w:color="auto"/>
            <w:left w:val="none" w:sz="0" w:space="0" w:color="auto"/>
            <w:bottom w:val="none" w:sz="0" w:space="0" w:color="auto"/>
            <w:right w:val="none" w:sz="0" w:space="0" w:color="auto"/>
          </w:divBdr>
        </w:div>
        <w:div w:id="1576666815">
          <w:marLeft w:val="0"/>
          <w:marRight w:val="0"/>
          <w:marTop w:val="0"/>
          <w:marBottom w:val="0"/>
          <w:divBdr>
            <w:top w:val="none" w:sz="0" w:space="0" w:color="auto"/>
            <w:left w:val="none" w:sz="0" w:space="0" w:color="auto"/>
            <w:bottom w:val="none" w:sz="0" w:space="0" w:color="auto"/>
            <w:right w:val="none" w:sz="0" w:space="0" w:color="auto"/>
          </w:divBdr>
        </w:div>
        <w:div w:id="1616209624">
          <w:marLeft w:val="0"/>
          <w:marRight w:val="0"/>
          <w:marTop w:val="0"/>
          <w:marBottom w:val="0"/>
          <w:divBdr>
            <w:top w:val="none" w:sz="0" w:space="0" w:color="auto"/>
            <w:left w:val="none" w:sz="0" w:space="0" w:color="auto"/>
            <w:bottom w:val="none" w:sz="0" w:space="0" w:color="auto"/>
            <w:right w:val="none" w:sz="0" w:space="0" w:color="auto"/>
          </w:divBdr>
        </w:div>
        <w:div w:id="571738859">
          <w:marLeft w:val="0"/>
          <w:marRight w:val="0"/>
          <w:marTop w:val="0"/>
          <w:marBottom w:val="0"/>
          <w:divBdr>
            <w:top w:val="none" w:sz="0" w:space="0" w:color="auto"/>
            <w:left w:val="none" w:sz="0" w:space="0" w:color="auto"/>
            <w:bottom w:val="none" w:sz="0" w:space="0" w:color="auto"/>
            <w:right w:val="none" w:sz="0" w:space="0" w:color="auto"/>
          </w:divBdr>
        </w:div>
        <w:div w:id="1987851736">
          <w:marLeft w:val="0"/>
          <w:marRight w:val="0"/>
          <w:marTop w:val="0"/>
          <w:marBottom w:val="0"/>
          <w:divBdr>
            <w:top w:val="none" w:sz="0" w:space="0" w:color="auto"/>
            <w:left w:val="none" w:sz="0" w:space="0" w:color="auto"/>
            <w:bottom w:val="none" w:sz="0" w:space="0" w:color="auto"/>
            <w:right w:val="none" w:sz="0" w:space="0" w:color="auto"/>
          </w:divBdr>
        </w:div>
      </w:divsChild>
    </w:div>
    <w:div w:id="1073701468">
      <w:bodyDiv w:val="1"/>
      <w:marLeft w:val="0"/>
      <w:marRight w:val="0"/>
      <w:marTop w:val="0"/>
      <w:marBottom w:val="0"/>
      <w:divBdr>
        <w:top w:val="none" w:sz="0" w:space="0" w:color="auto"/>
        <w:left w:val="none" w:sz="0" w:space="0" w:color="auto"/>
        <w:bottom w:val="none" w:sz="0" w:space="0" w:color="auto"/>
        <w:right w:val="none" w:sz="0" w:space="0" w:color="auto"/>
      </w:divBdr>
    </w:div>
    <w:div w:id="1126045223">
      <w:bodyDiv w:val="1"/>
      <w:marLeft w:val="0"/>
      <w:marRight w:val="0"/>
      <w:marTop w:val="0"/>
      <w:marBottom w:val="0"/>
      <w:divBdr>
        <w:top w:val="none" w:sz="0" w:space="0" w:color="auto"/>
        <w:left w:val="none" w:sz="0" w:space="0" w:color="auto"/>
        <w:bottom w:val="none" w:sz="0" w:space="0" w:color="auto"/>
        <w:right w:val="none" w:sz="0" w:space="0" w:color="auto"/>
      </w:divBdr>
    </w:div>
    <w:div w:id="1332174665">
      <w:bodyDiv w:val="1"/>
      <w:marLeft w:val="0"/>
      <w:marRight w:val="0"/>
      <w:marTop w:val="0"/>
      <w:marBottom w:val="0"/>
      <w:divBdr>
        <w:top w:val="none" w:sz="0" w:space="0" w:color="auto"/>
        <w:left w:val="none" w:sz="0" w:space="0" w:color="auto"/>
        <w:bottom w:val="none" w:sz="0" w:space="0" w:color="auto"/>
        <w:right w:val="none" w:sz="0" w:space="0" w:color="auto"/>
      </w:divBdr>
      <w:divsChild>
        <w:div w:id="63259988">
          <w:marLeft w:val="0"/>
          <w:marRight w:val="0"/>
          <w:marTop w:val="100"/>
          <w:marBottom w:val="100"/>
          <w:divBdr>
            <w:top w:val="none" w:sz="0" w:space="0" w:color="auto"/>
            <w:left w:val="none" w:sz="0" w:space="0" w:color="auto"/>
            <w:bottom w:val="none" w:sz="0" w:space="0" w:color="auto"/>
            <w:right w:val="none" w:sz="0" w:space="0" w:color="auto"/>
          </w:divBdr>
        </w:div>
      </w:divsChild>
    </w:div>
    <w:div w:id="1368026972">
      <w:bodyDiv w:val="1"/>
      <w:marLeft w:val="0"/>
      <w:marRight w:val="0"/>
      <w:marTop w:val="0"/>
      <w:marBottom w:val="0"/>
      <w:divBdr>
        <w:top w:val="none" w:sz="0" w:space="0" w:color="auto"/>
        <w:left w:val="none" w:sz="0" w:space="0" w:color="auto"/>
        <w:bottom w:val="none" w:sz="0" w:space="0" w:color="auto"/>
        <w:right w:val="none" w:sz="0" w:space="0" w:color="auto"/>
      </w:divBdr>
    </w:div>
    <w:div w:id="1572503030">
      <w:bodyDiv w:val="1"/>
      <w:marLeft w:val="0"/>
      <w:marRight w:val="0"/>
      <w:marTop w:val="0"/>
      <w:marBottom w:val="0"/>
      <w:divBdr>
        <w:top w:val="none" w:sz="0" w:space="0" w:color="auto"/>
        <w:left w:val="none" w:sz="0" w:space="0" w:color="auto"/>
        <w:bottom w:val="none" w:sz="0" w:space="0" w:color="auto"/>
        <w:right w:val="none" w:sz="0" w:space="0" w:color="auto"/>
      </w:divBdr>
      <w:divsChild>
        <w:div w:id="1786652857">
          <w:marLeft w:val="0"/>
          <w:marRight w:val="0"/>
          <w:marTop w:val="100"/>
          <w:marBottom w:val="100"/>
          <w:divBdr>
            <w:top w:val="none" w:sz="0" w:space="0" w:color="auto"/>
            <w:left w:val="none" w:sz="0" w:space="0" w:color="auto"/>
            <w:bottom w:val="none" w:sz="0" w:space="0" w:color="auto"/>
            <w:right w:val="none" w:sz="0" w:space="0" w:color="auto"/>
          </w:divBdr>
        </w:div>
      </w:divsChild>
    </w:div>
    <w:div w:id="1732652801">
      <w:bodyDiv w:val="1"/>
      <w:marLeft w:val="0"/>
      <w:marRight w:val="0"/>
      <w:marTop w:val="0"/>
      <w:marBottom w:val="0"/>
      <w:divBdr>
        <w:top w:val="none" w:sz="0" w:space="0" w:color="auto"/>
        <w:left w:val="none" w:sz="0" w:space="0" w:color="auto"/>
        <w:bottom w:val="none" w:sz="0" w:space="0" w:color="auto"/>
        <w:right w:val="none" w:sz="0" w:space="0" w:color="auto"/>
      </w:divBdr>
      <w:divsChild>
        <w:div w:id="2125730369">
          <w:marLeft w:val="0"/>
          <w:marRight w:val="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hyperlink" Target="mailto:rolo4336@gmail.com" TargetMode="External"/><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FC11B-45D7-A643-BF39-4D743DEF6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Rolando Vinicio Casigña Parra</dc:creator>
  <cp:keywords/>
  <dc:description/>
  <cp:lastModifiedBy>Rolando Vinicio Casigña Parra</cp:lastModifiedBy>
  <cp:revision>176</cp:revision>
  <cp:lastPrinted>2026-02-06T03:46:00Z</cp:lastPrinted>
  <dcterms:created xsi:type="dcterms:W3CDTF">2025-03-18T18:08:00Z</dcterms:created>
  <dcterms:modified xsi:type="dcterms:W3CDTF">2026-05-22T16:43:00Z</dcterms:modified>
</cp:coreProperties>
</file>