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NIEM 2020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 of Beneficiaries of International Protection in France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(Rapport national)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Meet france terre d'asile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https://www.youtube.com/watch?v=jds0ASTrvjE&amp;t=437s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Objectif du projet : Evaluation des politiques d’intégration bénéficiaire d’une protection internationale dans 14 pays membres de l’Union Européenne.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Analyser les dispositifs législatifs, identifier les difficultés de mise en oeuvre et les bonnes pratiques existantes.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 basé sur des indicateurs comparatifs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2017 - 2019 (1er cycle) : Publication du rapport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2019 (2e cycle) : 1er bilan de l’accueil et de l’intégration des réfugiés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2021 (3e cycle) : Suivi du rapport notamment avec le Covid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Les thématiques abordées dans ce rapport sont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Résidence (titre de séjour)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Unité de famille et réunification familiale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Nationalité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Logement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Emploi</w:t>
        <w:tab/>
        <w:tab/>
        <w:tab/>
        <w:tab/>
        <w:tab/>
        <w:t xml:space="preserve">=&gt; points faibles pour la politique d’intégration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Formation professionnelle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Scolarité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Accès aux soins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Accès aux droits sociaux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Apprentissage de la langue Française (point faible aussi)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Lien social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Il y a eu très peu de développement.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Une grande difficulté est que les acteurs notamment de la société civile et du gouvernement doivent être impliqués.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coordination reste un point faible malgré une nette amélioration entre 2017 et 2019 avec respectivement 25,1% et 31,1%.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Il faudrait aussi améliorer la politique de l’emploi même si encore une fois il y a eu une amélioration de 14,9% pour la France entre 2017 et 2019.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-&gt; Emploi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Bilan des compétences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Equivalence et validation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Services spécialisés (mineurs, mères célibataires…)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Réfugiés comme groupe cible dans les politiques et fonds générales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Partenaires ONGs pour la coordination horizontale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Il faudrait un partage local et régional entre ses différents services.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-&gt; participation et développement du lien social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C’est un point faible en général pour l’Europe.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Il faudrait peut-être regarder au Canada selon Thomas de Migration Policy Group.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Campagne nationale de sensibilisation sur la contribution des réfugiés (notamment avec le Covid)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Elaboration de stratégies locales et régionales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Informations / structures de consultations ciblées pour les réfugiés et association des réfugiés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Mais pas trop de réponse car pas bon en Europe en général.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1er rapport publié en avril 2019 sur les politiques d’intégration des réfugiés en 2017.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Nouveau rapport : évaluer le développement législatif et politique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Évolution de la France liée à l’adoption de la stratégie nationale pour l’accueil et l’intégration des personnes réfugiées + loi “Asile-Immigration” du 10 septembre 2018.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Sur le plan législatif, il y a eu peu d’évolution sauf sur le plan “résidence” avec le droit aus éjour renforcé pour les bénéficiaires de la protection subsidiaire (le titre de séjour de 4 ans peut donner droit à une carte résident de 10 ans)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Entre 2017 et 2019: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Pilotage de la politique d’intégration : +89%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Lien social : +57,5% (bénévoles, services civiques pour réfugiés)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Formation professionnelle: +23,0% (plan d’investissement dans les compétences)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Accès à l’emploi : +14,9%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Mais aucune avancée pour la nationalité française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Avancée concernant l’accès au droits sociaux (notamment avec la loi Asile-Immigration) et l’apprentissage linguistique (on est passé de 200h à 600h de formation linguistique + nouvel entretien de fin de formation)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Pour la France, moins bons résultats en termes d’accès à l’emploi, aux droits et aux soins.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Coordination (53% en 2019) : obstacles administratifs, manque de coordination des acteurs, décisions discrétionnaires.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Accès aux droits sociaux: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Décisions discrétionnaires et longs délais de délivrance des premiers titres de séjour.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Blocage prestations familiales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Accès à un compte bancaire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Bons résultats juridiques (69,4% en 2019) et politique (de 44% en 2017 à 47% en 2019)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Sondage en 2019, plus de 25% obtiennent leur titre de séjour 10 mois après avoir reçu la notification.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Mauvais résultats pour l’insertion professionnelle des réfugiés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Malgré des progrès en 2018: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Diplôme universitaire “Passerelle - étudiants en exil”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Bourse d’étude pour les subsidiaires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Moins de 25 ans (PIAL -&gt; acquisition de la langue)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 d’accompagnement vers l’emploi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Pour autant: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Difficulté de reconnaissance des diplômes et qualifications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Sous représentation des femmes réfugiées au sein des dispositifs d’accompagnement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Professions réglementées (demande de nationalité française, d’attestation de droit du travail…)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Recommandations: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Faciliter la procédure de reconnaissance des diplômes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Revoir la liste des professions réglementées et ouvrir la Fondation Publique à tous les étrangers résidant légalement en France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Renforcer les programmes d’accompagnement intégrés et encourager la  participation des femmes réfugiées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Recommandations pour l’insertion professionnelle des réfugiés 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=&gt; lever les freins à l’apprentissage de la langue française pour faciliter l’accès à l’emploi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Les enjeux 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Accès au logement : point compliqué surtout dans les zones urbaines denses (notamment en IDF)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Solutions alternatives : accès aux parcs privés / colocations solidaires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Emploi : fort enjeux de coordination, enjeux de gouvernance locale, travailler sur les soft skills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Accès aux droits: difficultés aux droits sociaux, accès à un compte bancaire (discrimination), groupe de travail avec la Banque de France pour mener des expérimentations pour savoir ce qu’il faut changer précisément, permis de conduire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Lutte contre la fracture numérique : enjeu majeur notamment en période de Covid (accès au matériel, à une connexion internet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Enjeu de la santé mentale : pas un programme de soin mais d’orientation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Enjeu du lien social : comment tenir compte de la parole et de la pensée des réfugiés 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La taille de la structure a-t-elle un lien avec la parole de celui qui est accompagné 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Remarque : plus puissant quand c’est marqué par une structure politique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Recommandations : 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Intégrer les exilés dans les conseils d’administration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Travailler en binôme, en groupe, projets avec les réfugiés -&gt; action plus pertinente ensemble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ds0ASTrvjE&amp;t=43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