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6"/>
          <w:szCs w:val="36"/>
        </w:rPr>
        <w:t xml:space="preserve">Ongoing Monitoring Plan — Framework</w:t>
      </w:r>
    </w:p>
    <w:p>
      <w:pPr>
        <w:pBdr>
          <w:bottom w:val="single" w:color="1F3864" w:sz="6" w:space="4"/>
        </w:pBdr>
        <w:spacing w:after="60"/>
      </w:pPr>
      <w:r>
        <w:rPr>
          <w:color w:val="555555"/>
          <w:sz w:val="24"/>
          <w:szCs w:val="24"/>
        </w:rPr>
        <w:t xml:space="preserve">Quantum Computing Solution</w:t>
      </w:r>
    </w:p>
    <w:p>
      <w:pPr>
        <w:spacing w:after="160" w:before="100"/>
      </w:pPr>
      <w:r>
        <w:rPr>
          <w:i/>
          <w:iCs/>
          <w:color w:val="777777"/>
          <w:sz w:val="18"/>
          <w:szCs w:val="18"/>
        </w:rPr>
        <w:t xml:space="preserve">Deliberately simple. Opens with the validation outcome (carried from the validation report), then what to monitor. For a QC POC the main revalidation trigger is usually movement in the technology frontier, not data drift. Orange = adapt; bank-specific cadence and ownership are yours.</w:t>
      </w:r>
    </w:p>
    <w:p>
      <w:pPr>
        <w:pStyle w:val="Heading1"/>
      </w:pPr>
      <w:r>
        <w:t xml:space="preserve">1. Model validation – outcome</w:t>
      </w:r>
    </w:p>
    <w:p>
      <w:pPr>
        <w:spacing w:after="80"/>
      </w:pPr>
      <w:r>
        <w:rPr>
          <w:i/>
          <w:iCs/>
          <w:color w:val="666666"/>
          <w:sz w:val="20"/>
          <w:szCs w:val="20"/>
        </w:rPr>
        <w:t xml:space="preserve">The validation conclusion, carried from the validation report (the authoritative source). It sets the monitoring posture below.</w:t>
      </w:r>
    </w:p>
    <w:p>
      <w:pPr>
        <w:spacing w:after="100"/>
      </w:pPr>
      <w:r>
        <w:rPr>
          <w:b/>
          <w:bCs/>
          <w:sz w:val="22"/>
          <w:szCs w:val="22"/>
        </w:rPr>
        <w:t xml:space="preserve">Selected outcome: </w:t>
      </w:r>
      <w:r>
        <w:rPr>
          <w:sz w:val="22"/>
          <w:szCs w:val="22"/>
        </w:rPr>
        <w:t xml:space="preserve">[ Validated | Not validated | Ongoing review – next steps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1900"/>
        <w:gridCol w:w="186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Outcome</w:t>
            </w:r>
          </w:p>
        </w:tc>
        <w:tc>
          <w:tcPr>
            <w:tcW w:type="dxa" w:w="3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Meaning</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Use</w:t>
            </w:r>
          </w:p>
        </w:tc>
        <w:tc>
          <w:tcPr>
            <w:tcW w:type="dxa" w:w="1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Monitoring posture</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Validated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Meets the validation criteria; fit for intended use within stated limitations.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Approved within scope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Monitor for decay; periodic revalidation</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Not validated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Fails the criteria or is not conceptually sound for the intended use.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Not approved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None; record findings, resubmit if reworked</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Ongoing review – next steps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Merit shown but not yet fit for use; conditional or incomplete.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Restricted (POC / research)</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Track the preconditions below; revalidate when met</w:t>
            </w:r>
          </w:p>
        </w:tc>
      </w:tr>
    </w:tbl>
    <w:p>
      <w:pPr>
        <w:pStyle w:val="Heading1"/>
      </w:pPr>
      <w:r>
        <w:t xml:space="preserve">2. Next steps &amp; preconditions</w:t>
      </w:r>
    </w:p>
    <w:p>
      <w:pPr>
        <w:spacing w:after="40"/>
      </w:pPr>
      <w:r>
        <w:rPr>
          <w:b/>
          <w:bCs/>
          <w:color w:val="2E5496"/>
          <w:sz w:val="16"/>
          <w:szCs w:val="16"/>
        </w:rPr>
        <w:t xml:space="preserve">Applies when the outcome is “Ongoing review – next steps”</w:t>
      </w:r>
    </w:p>
    <w:p>
      <w:pPr>
        <w:spacing w:after="100"/>
      </w:pPr>
      <w:r>
        <w:rPr>
          <w:sz w:val="22"/>
          <w:szCs w:val="22"/>
        </w:rPr>
        <w:t xml:space="preserve">A QC proof-of-concept is typically a degraded version constrained by today's technology (project doc §3 feasibility verdict, §14 roadmap). It becomes fit for fuller use only when specific preconditions are met, at which point it is revalidated against the relevant validation core. List the preconditions and what each requires.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Precondition</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Status / expected</w:t>
            </w:r>
          </w:p>
        </w:tc>
      </w:tr>
      <w:tr>
        <w:tc>
          <w:tcPr>
            <w:tcW w:type="dxa" w:w="5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val="false"/>
                <w:bCs w:val="false"/>
                <w:sz w:val="20"/>
                <w:szCs w:val="20"/>
              </w:rPr>
              <w:t xml:space="preserve">[ e.g. fault-tolerant hardware / sufficient logical qubits ]</w:t>
            </w:r>
          </w:p>
        </w:tc>
        <w:tc>
          <w:tcPr>
            <w:tcW w:type="dxa" w:w="4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val="false"/>
                <w:bCs w:val="false"/>
                <w:sz w:val="20"/>
                <w:szCs w:val="20"/>
              </w:rPr>
              <w:t xml:space="preserve">[ … ]</w:t>
            </w:r>
          </w:p>
        </w:tc>
      </w:tr>
      <w:tr>
        <w:tc>
          <w:tcPr>
            <w:tcW w:type="dxa" w:w="5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val="false"/>
                <w:bCs w:val="false"/>
                <w:sz w:val="20"/>
                <w:szCs w:val="20"/>
              </w:rPr>
              <w:t xml:space="preserve">[ e.g. efficient state preparation / lower error rates ]</w:t>
            </w:r>
          </w:p>
        </w:tc>
        <w:tc>
          <w:tcPr>
            <w:tcW w:type="dxa" w:w="4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val="false"/>
                <w:bCs w:val="false"/>
                <w:sz w:val="20"/>
                <w:szCs w:val="20"/>
              </w:rPr>
              <w:t xml:space="preserve">[ … ]</w:t>
            </w:r>
          </w:p>
        </w:tc>
      </w:tr>
    </w:tbl>
    <w:p>
      <w:pPr>
        <w:pStyle w:val="Heading1"/>
      </w:pPr>
      <w:r>
        <w:t xml:space="preserve">3. What is monitored</w:t>
      </w:r>
    </w:p>
    <w:p>
      <w:pPr>
        <w:spacing w:after="80"/>
      </w:pPr>
      <w:r>
        <w:rPr>
          <w:i/>
          <w:iCs/>
          <w:color w:val="666666"/>
          <w:sz w:val="20"/>
          <w:szCs w:val="20"/>
        </w:rPr>
        <w:t xml:space="preserve">Track the few signals that would change the verdict. A trigger fires a revalidation against the relevant validation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1500"/>
        <w:gridCol w:w="190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Dimension</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Indicator</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Frequency</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Revalidation trigger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Technology frontier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Qubit count, error rates, coherence, QPU availability</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val="false"/>
                <w:bCs w:val="false"/>
                <w:sz w:val="20"/>
                <w:szCs w:val="20"/>
              </w:rPr>
              <w:t xml:space="preserve">[ … ]</w:t>
            </w:r>
          </w:p>
        </w:tc>
        <w:tc>
          <w:tcPr>
            <w:tcW w:type="dxa" w:w="1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val="false"/>
                <w:bCs w:val="false"/>
                <w:sz w:val="20"/>
                <w:szCs w:val="20"/>
              </w:rPr>
              <w:t xml:space="preserve">a roadmap precondition is met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Algorithmic / SDK advances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New algorithms, library/API changes, better state preparation</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val="false"/>
                <w:bCs w:val="false"/>
                <w:sz w:val="20"/>
                <w:szCs w:val="20"/>
              </w:rPr>
              <w:t xml:space="preserve">[ … ]</w:t>
            </w:r>
          </w:p>
        </w:tc>
        <w:tc>
          <w:tcPr>
            <w:tcW w:type="dxa" w:w="1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val="false"/>
                <w:bCs w:val="false"/>
                <w:sz w:val="20"/>
                <w:szCs w:val="20"/>
              </w:rPr>
              <w:t xml:space="preserve">a materially better method appears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Classical baseline shift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Has the best classical method improved?</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val="false"/>
                <w:bCs w:val="false"/>
                <w:sz w:val="20"/>
                <w:szCs w:val="20"/>
              </w:rPr>
              <w:t xml:space="preserve">[ … ]</w:t>
            </w:r>
          </w:p>
        </w:tc>
        <w:tc>
          <w:tcPr>
            <w:tcW w:type="dxa" w:w="1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val="false"/>
                <w:bCs w:val="false"/>
                <w:sz w:val="20"/>
                <w:szCs w:val="20"/>
              </w:rPr>
              <w:t xml:space="preserve">baseline moves the verdict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Model performance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Only if the model is in production use (e.g. predictive)</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val="false"/>
                <w:bCs w:val="false"/>
                <w:sz w:val="20"/>
                <w:szCs w:val="20"/>
              </w:rPr>
              <w:t xml:space="preserve">[ … ]</w:t>
            </w:r>
          </w:p>
        </w:tc>
        <w:tc>
          <w:tcPr>
            <w:tcW w:type="dxa" w:w="1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val="false"/>
                <w:bCs w:val="false"/>
                <w:sz w:val="20"/>
                <w:szCs w:val="20"/>
              </w:rPr>
              <w:t xml:space="preserve">metric breaches threshold</w:t>
            </w:r>
          </w:p>
        </w:tc>
      </w:tr>
    </w:tbl>
    <w:p>
      <w:pPr>
        <w:pStyle w:val="Heading1"/>
      </w:pPr>
      <w:r>
        <w:t xml:space="preserve">4. Ownership &amp; cadence</w:t>
      </w:r>
    </w:p>
    <w:p>
      <w:pPr>
        <w:spacing w:after="80"/>
      </w:pPr>
      <w:r>
        <w:rPr>
          <w:i/>
          <w:iCs/>
          <w:color w:val="666666"/>
          <w:sz w:val="20"/>
          <w:szCs w:val="20"/>
        </w:rPr>
        <w:t xml:space="preserve">Bank-specific: who owns monitoring, the review cadence, and how a triggered revalidation is logged in the model inventory.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999999"/>
        <w:sz w:val="16"/>
        <w:szCs w:val="16"/>
      </w:rPr>
      <w:t xml:space="preserve">Ongoing Monitoring Plan —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2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2026-06-17T13:21:22.519Z</dcterms:created>
  <dcterms:modified xsi:type="dcterms:W3CDTF">2026-06-17T13:21:22.519Z</dcterms:modified>
</cp:coreProperties>
</file>

<file path=docProps/custom.xml><?xml version="1.0" encoding="utf-8"?>
<Properties xmlns="http://schemas.openxmlformats.org/officeDocument/2006/custom-properties" xmlns:vt="http://schemas.openxmlformats.org/officeDocument/2006/docPropsVTypes"/>
</file>