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Project Implementation Template — Framework</w:t>
      </w:r>
    </w:p>
    <w:p>
      <w:pPr>
        <w:spacing w:after="80"/>
      </w:pPr>
      <w:r>
        <w:rPr>
          <w:color w:val="555555"/>
          <w:sz w:val="26"/>
          <w:szCs w:val="26"/>
        </w:rPr>
        <w:t xml:space="preserve">Quantum Computing Solution / Proof-of-Concept</w:t>
      </w:r>
    </w:p>
    <w:p>
      <w:pPr>
        <w:pBdr>
          <w:bottom w:val="single" w:color="1F3864" w:sz="6" w:space="4"/>
        </w:pBdr>
        <w:spacing w:after="60"/>
      </w:pPr>
      <w:r>
        <w:rPr>
          <w:color w:val="777777"/>
          <w:sz w:val="18"/>
          <w:szCs w:val="18"/>
        </w:rPr>
        <w:t xml:space="preserve">Version 0.1  ·  Status: framework (adapt before use)  ·  Generic — prune optional sections by archetype</w:t>
      </w:r>
    </w:p>
    <w:p>
      <w:pPr>
        <w:spacing w:after="200" w:before="120"/>
      </w:pPr>
      <w:r>
        <w:rPr>
          <w:i/>
          <w:iCs/>
          <w:color w:val="777777"/>
          <w:sz w:val="18"/>
          <w:szCs w:val="18"/>
        </w:rPr>
        <w:t xml:space="preserve">Structured to be compatible with SR 11-7-style model risk review. It is not a compliance certification. Paired with the Model Validation Plan, which holds the detailed validation criteria and test plan.</w:t>
      </w:r>
    </w:p>
    <w:p>
      <w:pPr>
        <w:pStyle w:val="Heading1"/>
      </w:pPr>
      <w:r>
        <w:t xml:space="preserve">How to use this document</w:t>
      </w:r>
    </w:p>
    <w:p>
      <w:pPr>
        <w:spacing w:after="80"/>
      </w:pPr>
      <w:r>
        <w:rPr>
          <w:sz w:val="22"/>
          <w:szCs w:val="22"/>
        </w:rPr>
        <w:t xml:space="preserve">A framework, not a finished document. It encodes a standard structure so a team — or the agent — adapts rather than starts from scratch.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Cells shaded </w:t>
      </w:r>
      <w:r>
        <w:rPr>
          <w:b/>
          <w:bCs/>
          <w:color w:val="C55A11"/>
          <w:sz w:val="22"/>
          <w:szCs w:val="22"/>
        </w:rPr>
        <w:t xml:space="preserve">orange</w:t>
      </w:r>
      <w:r>
        <w:rPr>
          <w:sz w:val="22"/>
          <w:szCs w:val="22"/>
        </w:rPr>
        <w:t xml:space="preserve"> are fill-in / adaptation points.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section is tagged </w:t>
      </w:r>
      <w:r>
        <w:rPr>
          <w:b/>
          <w:bCs/>
          <w:sz w:val="22"/>
          <w:szCs w:val="22"/>
        </w:rPr>
        <w:t xml:space="preserve">Mandatory</w:t>
      </w:r>
      <w:r>
        <w:rPr>
          <w:sz w:val="22"/>
          <w:szCs w:val="22"/>
        </w:rPr>
        <w:t xml:space="preserve"> or </w:t>
      </w:r>
      <w:r>
        <w:rPr>
          <w:b/>
          <w:bCs/>
          <w:sz w:val="22"/>
          <w:szCs w:val="22"/>
        </w:rPr>
        <w:t xml:space="preserve">Optional-by-archetype</w:t>
      </w:r>
      <w:r>
        <w:rPr>
          <w:sz w:val="22"/>
          <w:szCs w:val="22"/>
        </w:rPr>
        <w:t xml:space="preserve">. Classify the project archetype first (reference-anchored / optimization / statistical-predictive), then prune.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Every nontrivial design choice carries an inline citation to a verifiable source; §15 consolidates them and states the admission rule.</w:t>
      </w:r>
    </w:p>
    <w:p>
      <w:pPr>
        <w:pStyle w:val="Heading1"/>
      </w:pPr>
      <w:r>
        <w:t xml:space="preserve">0. Document metadata &amp; change log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archetype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reference-anchored | optimization | statistical-predictive 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 validation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</w:tbl>
    <w:p>
      <w:pPr>
        <w:pStyle w:val="Heading1"/>
      </w:pPr>
      <w:r>
        <w:t xml:space="preserve">Section map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Which sections apply. The agent prunes optional sections by archetype; the skeleton is a superset and most projects fill a subset.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§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Applicability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 statement &amp; context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Objectives &amp; definition of done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Scope &amp; feasibility verdict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Solution retained &amp; alternatives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Technical stack &amp; environment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— mandatory if data is used; always for statistical-predictive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Assumptions &amp; limitations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Validation approach (summary)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Governance &amp; RACI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Risks &amp; mitigations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— recommended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Milestones, deliverables, timeline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Roadmap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Foundations, provenance &amp; references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Glossary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</w:tbl>
    <w:p>
      <w:pPr>
        <w:pStyle w:val="Heading1"/>
      </w:pPr>
      <w:r>
        <w:t xml:space="preserve">1. Problem statement &amp; context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State the business or research question that triggered the project, and who is asking and why now.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Capture the full ambition here — including parts that may not be buildable yet. Section 3 narrows it.</w:t>
      </w:r>
    </w:p>
    <w:p>
      <w:pPr>
        <w:pStyle w:val="Heading1"/>
      </w:pPr>
      <w:r>
        <w:t xml:space="preserve">2. Objectives &amp; definition of done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List the objectives, then define 'done' explicitly: what makes the project a success.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Project success is not model validity — the latter lives in the validation plan (§9).</w:t>
      </w:r>
    </w:p>
    <w:p>
      <w:pPr>
        <w:pStyle w:val="Heading1"/>
      </w:pPr>
      <w:r>
        <w:t xml:space="preserve">3. Scope &amp; feasibility verdict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In scope / out of scope.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Feasibility verdict: what is buildable on today's hardware/software, what is a degraded version of the original ambition, and what is deferred. State the degradation plainly — it is the honest record, not a weakness to hide.</w:t>
      </w:r>
    </w:p>
    <w:p>
      <w:pPr>
        <w:pStyle w:val="Heading1"/>
      </w:pPr>
      <w:r>
        <w:t xml:space="preserve">4. Solution retained &amp; alternatives considered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The approach chosen and why; alternatives considered and why rejected.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If this is a degraded version (per §3), state the ideal and what forced the reduction. This is the decision record an auditor reads.</w:t>
      </w:r>
    </w:p>
    <w:p>
      <w:pPr>
        <w:pStyle w:val="Heading1"/>
      </w:pPr>
      <w:r>
        <w:t xml:space="preserve">5. Architecture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Component overview; the classical/quantum boundary (what runs where, where data crosses it); data flow. A diagram is encouraged.</w:t>
      </w:r>
    </w:p>
    <w:p>
      <w:pPr>
        <w:pStyle w:val="Heading1"/>
      </w:pPr>
      <w:r>
        <w:t xml:space="preserve">6. Technical stack &amp; environment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Languages, frameworks, quantum SDK, execution targets (simulator / QPU vendor), key dependencies with pinned versions. Reproducibility and MRM both depend on this.</w:t>
      </w:r>
    </w:p>
    <w:p>
      <w:pPr>
        <w:pStyle w:val="Heading1"/>
      </w:pPr>
      <w:r>
        <w:t xml:space="preserve">7. Data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Optional — mandatory if data is used; always for statistical-predictive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Data sources and access; sensitivity, classification, residency.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For statistical-predictive projects (e.g. credit, fraud), add fairness, bias and explainability considerations, and the applicable obligations.</w:t>
      </w:r>
    </w:p>
    <w:p>
      <w:pPr>
        <w:pStyle w:val="Heading1"/>
      </w:pPr>
      <w:r>
        <w:t xml:space="preserve">8. Assumptions &amp; limitations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Assumptions (model, market, numerical) and limitations on current hardware/software.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Every limitation here is derived from the validation results (linked plan), not written independently — the two documents must match.</w:t>
      </w:r>
    </w:p>
    <w:p>
      <w:pPr>
        <w:pStyle w:val="Heading1"/>
      </w:pPr>
      <w:r>
        <w:t xml:space="preserve">9. Validation approach — summary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State the validation archetype, the headline acceptance bar, and link to the Model Validation Plan.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Detailed criteria and the test plan live there. Do not duplicate them here — one source of truth.</w:t>
      </w:r>
    </w:p>
    <w:p>
      <w:pPr>
        <w:pStyle w:val="Heading1"/>
      </w:pPr>
      <w:r>
        <w:t xml:space="preserve">10. Governance &amp; RACI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Three roles (SR 11-7): a build team, an independent review/validation team, and an accountable model owner. Validation must be independent of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 / 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pPr>
        <w:pStyle w:val="Heading1"/>
      </w:pPr>
      <w:r>
        <w:t xml:space="preserve">11. Risks &amp; mitigations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Optional — recommended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Risk register: technical, hardware/vendor availability, data, timeline. Tie to model-risk materiality / tiering where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</w:tr>
    </w:tbl>
    <w:p>
      <w:pPr>
        <w:pStyle w:val="Heading1"/>
      </w:pPr>
      <w:r>
        <w:t xml:space="preserve">12. Milestones, deliverables &amp; timeline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Optional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Phases, deliverables and dates. Keep light for a POC; expand for a delivery project.</w:t>
      </w:r>
    </w:p>
    <w:p>
      <w:pPr>
        <w:pStyle w:val="Heading1"/>
      </w:pPr>
      <w:r>
        <w:t xml:space="preserve">13. Reproducibility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Seeds, pinned environment, and step-by-step rerun instructions. A third party must reproduce every result.</w:t>
      </w:r>
    </w:p>
    <w:p>
      <w:pPr>
        <w:pStyle w:val="Heading1"/>
      </w:pPr>
      <w:r>
        <w:t xml:space="preserve">14. Roadmap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The staged path beyond the degraded version — what each step needs (better hardware, error correction, more data). Feeds the readiness-roadmap / advisory layer.</w:t>
      </w:r>
    </w:p>
    <w:p>
      <w:pPr>
        <w:pStyle w:val="Heading1"/>
      </w:pPr>
      <w:r>
        <w:t xml:space="preserve">15. Foundations, provenance &amp; references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Mandatory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Every nontrivial choice — algorithm, baseline, validation method, material assumption — carries an inline citation. This section consolidates them into a curated foundations list, which is also the evidence base for the conceptual-soundness review (SR 11-7).</w:t>
      </w:r>
    </w:p>
    <w:p>
      <w:pPr>
        <w:pBdr>
          <w:left w:val="single" w:color="2E5496" w:sz="18" w:space="8"/>
        </w:pBdr>
        <w:shd w:fill="EAF1FB" w:val="clear"/>
        <w:spacing w:after="80" w:before="80"/>
      </w:pPr>
      <w:r>
        <w:rPr>
          <w:b/>
          <w:bCs/>
          <w:sz w:val="20"/>
          <w:szCs w:val="20"/>
        </w:rPr>
        <w:t xml:space="preserve">Source-admission rule. </w:t>
      </w:r>
      <w:r>
        <w:rPr>
          <w:sz w:val="20"/>
          <w:szCs w:val="20"/>
        </w:rPr>
        <w:t xml:space="preserve">A source is admitted only if it carries a verifiable persistent identifier (DOI / arXiv ID / ISBN) that resolves to a live link, with title and authors matching. Links are auto-resolved at generation; a present-but-unresolved or mismatched link is rejected. A source with no verifiable identifier is flagged “unverified”, never silently kept. A design choice that cannot be grounded in any verifiable source is flagged as a conceptual-soundness risk.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9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Supports (claim / §)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Persistent ID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DOI / arXiv / ISBN ]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verified / unverified</w:t>
            </w:r>
          </w:p>
        </w:tc>
      </w:tr>
    </w:tbl>
    <w:p>
      <w:pPr>
        <w:pStyle w:val="Heading1"/>
      </w:pPr>
      <w:r>
        <w:t xml:space="preserve">16. Glossary</w:t>
      </w:r>
    </w:p>
    <w:p>
      <w:pPr>
        <w:spacing w:after="40"/>
      </w:pPr>
      <w:r>
        <w:rPr>
          <w:b/>
          <w:bCs/>
          <w:color w:val="2E5496"/>
          <w:sz w:val="16"/>
          <w:szCs w:val="16"/>
        </w:rPr>
        <w:t xml:space="preserve">Applicability: Optional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Define the QC terms a non-specialist reviewer will need, so the document is legible to an MRM team that does not speak quantum.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99999"/>
        <w:sz w:val="16"/>
        <w:szCs w:val="16"/>
      </w:rPr>
      <w:t xml:space="preserve">Project Implementation Template — Framework (adapt before use)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2026-06-17T10:02:51.331Z</dcterms:created>
  <dcterms:modified xsi:type="dcterms:W3CDTF">2026-06-17T10:02:51.346Z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