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38"/>
          <w:szCs w:val="38"/>
        </w:rPr>
        <w:t xml:space="preserve">Validation Core — Statistical / Predictive</w:t>
      </w:r>
    </w:p>
    <w:p>
      <w:pPr>
        <w:pBdr>
          <w:bottom w:val="single" w:color="1F3864" w:sz="6" w:space="4"/>
        </w:pBdr>
        <w:spacing w:after="60"/>
      </w:pPr>
      <w:r>
        <w:rPr>
          <w:color w:val="555555"/>
          <w:sz w:val="24"/>
          <w:szCs w:val="24"/>
        </w:rPr>
        <w:t xml:space="preserve">For data-driven models (e.g. quantum-kernel classifiers, credit / fraud)</w:t>
      </w:r>
    </w:p>
    <w:p>
      <w:pPr>
        <w:spacing w:after="180" w:before="100"/>
      </w:pPr>
      <w:r>
        <w:rPr>
          <w:i/>
          <w:iCs/>
          <w:color w:val="777777"/>
          <w:sz w:val="18"/>
          <w:szCs w:val="18"/>
        </w:rPr>
        <w:t xml:space="preserve">Plugs into the Model Validation Plan shell at §4. Generic module — set the orange defaults to your tolerances.</w:t>
      </w:r>
    </w:p>
    <w:p>
      <w:pPr>
        <w:pStyle w:val="Heading1"/>
      </w:pPr>
      <w:r>
        <w:t xml:space="preserve">Definition of “correct / good”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The model generalises to unseen data at acceptable performance.</w:t>
      </w:r>
    </w:p>
    <w:p>
      <w:pPr>
        <w:pStyle w:val="Heading1"/>
      </w:pPr>
      <w:r>
        <w:t xml:space="preserve">Ground truth &amp; baseline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A labelled hold-out set; a classical ML baseline (the model the institution would otherwise use).</w:t>
      </w:r>
    </w:p>
    <w:p>
      <w:pPr>
        <w:pStyle w:val="Heading1"/>
      </w:pPr>
      <w:r>
        <w:t xml:space="preserve">Test-set / data design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Train / validation / test splits; cross-validation; representative, balanced classes.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Out-of-time / out-of-sample hold-out to prevent leakage.</w:t>
      </w:r>
    </w:p>
    <w:p>
      <w:pPr>
        <w:pStyle w:val="Heading1"/>
      </w:pPr>
      <w:r>
        <w:t xml:space="preserve">Metrics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AUC, precision / recall, F1; calibration.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Generalisation gap (train vs hold-out); stability.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For credit / fraud: fairness / bias metrics and explainability.</w:t>
      </w:r>
    </w:p>
    <w:p>
      <w:pPr>
        <w:pStyle w:val="Heading2"/>
      </w:pPr>
      <w:r>
        <w:t xml:space="preserve">Accept / reject criteria (standard defaults)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Thresholds (orange) are starting points — set them to your MRM tolerances.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360"/>
        <w:gridCol w:w="24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Pass condition (standard default)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Predictive performance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≥ classical baseline by margin [default] on the hold-out.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Quantum must earn its place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Generalisation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Train–holdout gap ≤ [default]; calibration within [default].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overfitting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Fairness / explainability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Fairness metrics within [policy]; adverse-action explanations available.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Regulatory obligation for credit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Coverage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Stable across cross-validation folds.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one lucky split</w:t>
            </w:r>
          </w:p>
        </w:tc>
      </w:tr>
    </w:tbl>
    <w:p>
      <w:pPr>
        <w:pStyle w:val="Heading2"/>
      </w:pPr>
      <w:r>
        <w:t xml:space="preserve">Failure modes to guard against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Data leakage.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Overfitting.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Class-imbalance illusion (accuracy paradox).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Distribution shift.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 weak classical baseline.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Unaddressed fairness violations.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999999"/>
        <w:sz w:val="16"/>
        <w:szCs w:val="16"/>
      </w:rPr>
      <w:t xml:space="preserve">Validation Core — Statistical / Predictive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70" w:before="150"/>
      <w:outlineLvl w:val="1"/>
    </w:pPr>
    <w:rPr>
      <w:rFonts w:ascii="Arial" w:cs="Arial" w:eastAsia="Arial" w:hAnsi="Arial"/>
      <w:b/>
      <w:bCs/>
      <w:color w:val="2E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2026-06-17T12:49:50.458Z</dcterms:created>
  <dcterms:modified xsi:type="dcterms:W3CDTF">2026-06-17T12:49:50.458Z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