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8"/>
          <w:szCs w:val="38"/>
        </w:rPr>
        <w:t xml:space="preserve">Validation Core — Reference-Anchored</w:t>
      </w:r>
    </w:p>
    <w:p>
      <w:pPr>
        <w:pBdr>
          <w:bottom w:val="single" w:color="1F3864" w:sz="6" w:space="4"/>
        </w:pBdr>
        <w:spacing w:after="60"/>
      </w:pPr>
      <w:r>
        <w:rPr>
          <w:color w:val="555555"/>
          <w:sz w:val="24"/>
          <w:szCs w:val="24"/>
        </w:rPr>
        <w:t xml:space="preserve">For models with a known-correct answer (closed form / exact solver)</w:t>
      </w:r>
    </w:p>
    <w:p>
      <w:pPr>
        <w:spacing w:after="180" w:before="100"/>
      </w:pPr>
      <w:r>
        <w:rPr>
          <w:i/>
          <w:iCs/>
          <w:color w:val="777777"/>
          <w:sz w:val="18"/>
          <w:szCs w:val="18"/>
        </w:rPr>
        <w:t xml:space="preserve">Plugs into the Model Validation Plan shell at §4. Generic module — set the orange defaults to your tolerances.</w:t>
      </w:r>
    </w:p>
    <w:p>
      <w:pPr>
        <w:pStyle w:val="Heading1"/>
      </w:pPr>
      <w:r>
        <w:t xml:space="preserve">Definition of “correct / good”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The model matches a known-correct reference value within a stated tolerance.</w:t>
      </w:r>
    </w:p>
    <w:p>
      <w:pPr>
        <w:pStyle w:val="Heading1"/>
      </w:pPr>
      <w:r>
        <w:t xml:space="preserve">Ground truth &amp; baseline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 closed-form or exact solver. For stochastic estimators, also benchmark against the strongest classical estimator (e.g. variance-reduced Monte Carlo).</w:t>
      </w:r>
    </w:p>
    <w:p>
      <w:pPr>
        <w:pStyle w:val="Heading1"/>
      </w:pPr>
      <w:r>
        <w:t xml:space="preserve">Test-set / data design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 parameter matrix spanning the relevant regimes, not a single point.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Synthetic inputs are sufficient and preferable for correctness; market/real data is for coverage and credibility.</w:t>
      </w:r>
    </w:p>
    <w:p>
      <w:pPr>
        <w:pStyle w:val="Heading1"/>
      </w:pPr>
      <w:r>
        <w:t xml:space="preserve">Metrics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Absolute / relative error vs the reference.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Confidence interval for stochastic estimators (none for analytical methods — exact given assumptions).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Coverage across the matrix.</w:t>
      </w:r>
    </w:p>
    <w:p>
      <w:pPr>
        <w:pStyle w:val="Heading2"/>
      </w:pPr>
      <w:r>
        <w:t xml:space="preserve">Accept / reject criteria (standard defaults)</w:t>
      </w:r>
    </w:p>
    <w:p>
      <w:pPr>
        <w:spacing w:after="80"/>
      </w:pPr>
      <w:r>
        <w:rPr>
          <w:i/>
          <w:iCs/>
          <w:color w:val="666666"/>
          <w:sz w:val="20"/>
          <w:szCs w:val="20"/>
        </w:rPr>
        <w:t xml:space="preserve">Thresholds (orange) are starting points — set them to your MRM tolerances.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 condition (standard default)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Analytical method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Assumptions documented; matches reference to machine precision. No CI.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Exact given assumptions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Stochastic estimator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Reference value lies within the estimate’s 95% confidence interval.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Consistency with the anchor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|relative error| ≤ [default] across ≥ [default]% of the matrix.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Fit-for-purpose precision</w:t>
            </w:r>
          </w:p>
        </w:tc>
      </w:tr>
    </w:tbl>
    <w:p>
      <w:pPr>
        <w:pStyle w:val="Heading2"/>
      </w:pPr>
      <w:r>
        <w:t xml:space="preserve">Failure modes to guard against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Validating on a single point instead of the matrix.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Discretisation error mistaken for model error.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Precise-but-biased results read as correct.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999999"/>
        <w:sz w:val="16"/>
        <w:szCs w:val="16"/>
      </w:rPr>
      <w:t xml:space="preserve">Validation Core — Reference-Anchored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70" w:before="150"/>
      <w:outlineLvl w:val="1"/>
    </w:pPr>
    <w:rPr>
      <w:rFonts w:ascii="Arial" w:cs="Arial" w:eastAsia="Arial" w:hAnsi="Arial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2026-06-17T12:49:50.321Z</dcterms:created>
  <dcterms:modified xsi:type="dcterms:W3CDTF">2026-06-17T12:49:50.321Z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