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8"/>
          <w:szCs w:val="38"/>
        </w:rPr>
        <w:t xml:space="preserve">Model Validation Plan — Shell</w:t>
      </w:r>
    </w:p>
    <w:p>
      <w:pPr>
        <w:pBdr>
          <w:bottom w:val="single" w:color="1F3864" w:sz="6" w:space="4"/>
        </w:pBdr>
        <w:spacing w:after="60"/>
      </w:pPr>
      <w:r>
        <w:rPr>
          <w:color w:val="555555"/>
          <w:sz w:val="24"/>
          <w:szCs w:val="24"/>
        </w:rPr>
        <w:t xml:space="preserve">SR 11-7-structured · Quantum Computing Solution</w:t>
      </w:r>
    </w:p>
    <w:p>
      <w:pPr>
        <w:spacing w:after="180" w:before="100"/>
      </w:pPr>
      <w:r>
        <w:rPr>
          <w:i/>
          <w:iCs/>
          <w:color w:val="777777"/>
          <w:sz w:val="18"/>
          <w:szCs w:val="18"/>
        </w:rPr>
        <w:t xml:space="preserve">Generic shell. Attach the archetype core module that matches the project (see the core library). Synthetic level — detailed run-level results, if required, belong in a companion data file. Not a compliance certification.</w:t>
      </w:r>
    </w:p>
    <w:p>
      <w:pPr>
        <w:pStyle w:val="Heading1"/>
      </w:pPr>
      <w:r>
        <w:t xml:space="preserve">How to use this document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This shell is constant. Attach </w:t>
      </w:r>
      <w:r>
        <w:rPr>
          <w:b/>
          <w:bCs/>
          <w:sz w:val="22"/>
          <w:szCs w:val="22"/>
        </w:rPr>
        <w:t xml:space="preserve">one archetype core module</w:t>
      </w:r>
      <w:r>
        <w:rPr>
          <w:sz w:val="22"/>
          <w:szCs w:val="22"/>
        </w:rPr>
        <w:t xml:space="preserve"> at §4: reference-anchored, optimization-quality, or statistical-predictive.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Cells shaded </w:t>
      </w:r>
      <w:r>
        <w:rPr>
          <w:b/>
          <w:bCs/>
          <w:color w:val="C55A11"/>
          <w:sz w:val="22"/>
          <w:szCs w:val="22"/>
        </w:rPr>
        <w:t xml:space="preserve">orange</w:t>
      </w:r>
      <w:r>
        <w:rPr>
          <w:sz w:val="22"/>
          <w:szCs w:val="22"/>
        </w:rPr>
        <w:t xml:space="preserve"> are fill-in / adaptation points.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Stay synthetic. This document records criteria and verdicts, not row-level data.</w:t>
      </w:r>
    </w:p>
    <w:p>
      <w:pPr>
        <w:pStyle w:val="Heading1"/>
      </w:pPr>
      <w:r>
        <w:t xml:space="preserve">0. Metadata &amp; change log</w:t>
      </w:r>
    </w:p>
    <w:p>
      <w:pPr>
        <w:spacing w:after="40"/>
      </w:pPr>
      <w:r>
        <w:rPr>
          <w:b/>
          <w:bCs/>
          <w:color w:val="2E5496"/>
          <w:sz w:val="16"/>
          <w:szCs w:val="16"/>
        </w:rPr>
        <w:t xml:space="preserve">Applicability: Mandatory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 / solution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…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…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…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Archetype (core attached)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reference-anchored | optimization | statistical-predictive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Linked project doc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…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Independent validator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… ]</w:t>
            </w:r>
          </w:p>
        </w:tc>
      </w:tr>
    </w:tbl>
    <w:p>
      <w:pPr>
        <w:pStyle w:val="Heading1"/>
      </w:pPr>
      <w:r>
        <w:t xml:space="preserve">1. Scope of validation</w:t>
      </w:r>
    </w:p>
    <w:p>
      <w:pPr>
        <w:spacing w:after="40"/>
      </w:pPr>
      <w:r>
        <w:rPr>
          <w:b/>
          <w:bCs/>
          <w:color w:val="2E5496"/>
          <w:sz w:val="16"/>
          <w:szCs w:val="16"/>
        </w:rPr>
        <w:t xml:space="preserve">Applicability: Mandatory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Models in scope; intended use; out of scope. State whether this is a POC or a production-track validation — the bar differs.</w:t>
      </w:r>
    </w:p>
    <w:p>
      <w:pPr>
        <w:pStyle w:val="Heading1"/>
      </w:pPr>
      <w:r>
        <w:t xml:space="preserve">2. Archetype selection</w:t>
      </w:r>
    </w:p>
    <w:p>
      <w:pPr>
        <w:spacing w:after="40"/>
      </w:pPr>
      <w:r>
        <w:rPr>
          <w:b/>
          <w:bCs/>
          <w:color w:val="2E5496"/>
          <w:sz w:val="16"/>
          <w:szCs w:val="16"/>
        </w:rPr>
        <w:t xml:space="preserve">Applicability: Mandatory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Answer first: what does “correct” mean for this model? The answer selects the core.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Reference-anchored = a known-correct value exists · Optimization = quality of a solution with no exact answer at scale · Statistical-predictive = empirical performance on unseen data.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If “correct” cannot be defined or checked, stop — that is a feasibility red flag, not a validation detail.</w:t>
      </w:r>
    </w:p>
    <w:p>
      <w:pPr>
        <w:pStyle w:val="Heading1"/>
      </w:pPr>
      <w:r>
        <w:t xml:space="preserve">3. Conceptual soundness</w:t>
      </w:r>
    </w:p>
    <w:p>
      <w:pPr>
        <w:spacing w:after="40"/>
      </w:pPr>
      <w:r>
        <w:rPr>
          <w:b/>
          <w:bCs/>
          <w:color w:val="2E5496"/>
          <w:sz w:val="16"/>
          <w:szCs w:val="16"/>
        </w:rPr>
        <w:t xml:space="preserve">Applicability: Mandatory — SR 11-7 pillar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Is the methodology theoretically appropriate for the problem, and supported by verifiable published foundations? Reference the sources in §9. Unsupported design choices are flagged here.</w:t>
      </w:r>
    </w:p>
    <w:p>
      <w:pPr>
        <w:pStyle w:val="Heading1"/>
      </w:pPr>
      <w:r>
        <w:t xml:space="preserve">4. Archetype core (test set · metrics · accept/reject)</w:t>
      </w:r>
    </w:p>
    <w:p>
      <w:pPr>
        <w:spacing w:after="40"/>
      </w:pPr>
      <w:r>
        <w:rPr>
          <w:b/>
          <w:bCs/>
          <w:color w:val="2E5496"/>
          <w:sz w:val="16"/>
          <w:szCs w:val="16"/>
        </w:rPr>
        <w:t xml:space="preserve">Applicability: Mandatory — supplied by the attached core module</w:t>
      </w:r>
    </w:p>
    <w:p>
      <w:pPr>
        <w:pBdr>
          <w:left w:val="single" w:color="BF9000" w:sz="18" w:space="8"/>
        </w:pBdr>
        <w:shd w:fill="FFF2CC" w:val="clear"/>
        <w:spacing w:after="80" w:before="80"/>
      </w:pPr>
      <w:r>
        <w:rPr>
          <w:b/>
          <w:bCs/>
          <w:sz w:val="20"/>
          <w:szCs w:val="20"/>
        </w:rPr>
        <w:t xml:space="preserve">◧ Archetype core module — insert here. </w:t>
      </w:r>
      <w:r>
        <w:rPr>
          <w:sz w:val="20"/>
          <w:szCs w:val="20"/>
        </w:rPr>
        <w:t xml:space="preserve">It supplies: the definition of “correct/good”, ground truth &amp; baseline, test-set/data design, metrics, accept/reject criteria, and the failure modes to guard against.</w:t>
      </w:r>
    </w:p>
    <w:p>
      <w:pPr>
        <w:pStyle w:val="Heading1"/>
      </w:pPr>
      <w:r>
        <w:t xml:space="preserve">5. Outcomes analysis &amp; monitoring</w:t>
      </w:r>
    </w:p>
    <w:p>
      <w:pPr>
        <w:spacing w:after="40"/>
      </w:pPr>
      <w:r>
        <w:rPr>
          <w:b/>
          <w:bCs/>
          <w:color w:val="2E5496"/>
          <w:sz w:val="16"/>
          <w:szCs w:val="16"/>
        </w:rPr>
        <w:t xml:space="preserve">Applicability: Mandatory — SR 11-7 pillar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How results are analysed and exceptions investigated; whether and how the model is monitored over time. The synthetic verdict table below summarises the run.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 (from core)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 / exceptions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… 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 / REVIEW / FAIL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… ]</w:t>
            </w:r>
          </w:p>
        </w:tc>
      </w:tr>
    </w:tbl>
    <w:p>
      <w:pPr>
        <w:pStyle w:val="Heading1"/>
      </w:pPr>
      <w:r>
        <w:t xml:space="preserve">6. Independence &amp; governance</w:t>
      </w:r>
    </w:p>
    <w:p>
      <w:pPr>
        <w:spacing w:after="40"/>
      </w:pPr>
      <w:r>
        <w:rPr>
          <w:b/>
          <w:bCs/>
          <w:color w:val="2E5496"/>
          <w:sz w:val="16"/>
          <w:szCs w:val="16"/>
        </w:rPr>
        <w:t xml:space="preserve">Applicability: Mandatory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Validation performed independently of development. Roles: build team, independent validator, accountable model owner. Consistent with the project doc governance section.</w:t>
      </w:r>
    </w:p>
    <w:p>
      <w:pPr>
        <w:pStyle w:val="Heading1"/>
      </w:pPr>
      <w:r>
        <w:t xml:space="preserve">7. Reproducibility</w:t>
      </w:r>
    </w:p>
    <w:p>
      <w:pPr>
        <w:spacing w:after="40"/>
      </w:pPr>
      <w:r>
        <w:rPr>
          <w:b/>
          <w:bCs/>
          <w:color w:val="2E5496"/>
          <w:sz w:val="16"/>
          <w:szCs w:val="16"/>
        </w:rPr>
        <w:t xml:space="preserve">Applicability: Mandatory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Seeds, pinned environment, rerun instructions. Every reported figure must be reproducible.</w:t>
      </w:r>
    </w:p>
    <w:p>
      <w:pPr>
        <w:pStyle w:val="Heading1"/>
      </w:pPr>
      <w:r>
        <w:t xml:space="preserve">8. Reporting &amp; sign-off</w:t>
      </w:r>
    </w:p>
    <w:p>
      <w:pPr>
        <w:spacing w:after="40"/>
      </w:pPr>
      <w:r>
        <w:rPr>
          <w:b/>
          <w:bCs/>
          <w:color w:val="2E5496"/>
          <w:sz w:val="16"/>
          <w:szCs w:val="16"/>
        </w:rPr>
        <w:t xml:space="preserve">Applicability: Mandatory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The synthetic validation report records criteria, verdicts, exceptions, residual limitations, and sign-off.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Detailed run-level results (large test matrices, per-instance data) are out of scope for this Word document; if required, they live in a companion data file (e.g. Excel) referenced here.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Validation outcome (disposition)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Selected disposition: </w:t>
      </w:r>
      <w:r>
        <w:rPr>
          <w:sz w:val="22"/>
          <w:szCs w:val="22"/>
        </w:rPr>
        <w:t xml:space="preserve">[ Validated | Not validated | Ongoing review – next steps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implication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Validated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Meets the validation criteria; fit for intended use within stated limitations.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Approved within scope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 validated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Fails the criteria or is not conceptually sound for the intended use.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approved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Ongoing review – next steps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Merit shown but not yet fit for use; conditional or incomplete.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Restricted (POC / research) pending remediation</w:t>
            </w:r>
          </w:p>
        </w:tc>
      </w:tr>
    </w:tbl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This disposition is the authoritative record; the ongoing monitoring plan echoes it to set the monitoring posture. For “Ongoing review”, the next steps live in the monitoring plan §2.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Developer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… 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… 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Independent validator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… 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… 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 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… 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… ]</w:t>
            </w:r>
          </w:p>
        </w:tc>
      </w:tr>
    </w:tbl>
    <w:p>
      <w:pPr>
        <w:pStyle w:val="Heading1"/>
      </w:pPr>
      <w:r>
        <w:t xml:space="preserve">9. Foundations, provenance &amp; references</w:t>
      </w:r>
    </w:p>
    <w:p>
      <w:pPr>
        <w:spacing w:after="40"/>
      </w:pPr>
      <w:r>
        <w:rPr>
          <w:b/>
          <w:bCs/>
          <w:color w:val="2E5496"/>
          <w:sz w:val="16"/>
          <w:szCs w:val="16"/>
        </w:rPr>
        <w:t xml:space="preserve">Applicability: Mandatory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Evidence base for §3. Same source-admission rule as the project template.</w:t>
      </w:r>
    </w:p>
    <w:p>
      <w:pPr>
        <w:pBdr>
          <w:left w:val="single" w:color="2E5496" w:sz="18" w:space="8"/>
        </w:pBdr>
        <w:shd w:fill="EAF1FB" w:val="clear"/>
        <w:spacing w:after="80" w:before="80"/>
      </w:pPr>
      <w:r>
        <w:rPr>
          <w:b/>
          <w:bCs/>
          <w:sz w:val="20"/>
          <w:szCs w:val="20"/>
        </w:rPr>
        <w:t xml:space="preserve">Source-admission rule. </w:t>
      </w:r>
      <w:r>
        <w:rPr>
          <w:sz w:val="20"/>
          <w:szCs w:val="20"/>
        </w:rPr>
        <w:t xml:space="preserve">A source is admitted only if it carries a verifiable persistent identifier (DOI / arXiv ID / ISBN) resolving to a live link, with title and authors matching. Links are auto-resolved at generation; a present-but-unresolved or mismatched link is rejected. A source with no verifiable identifier is flagged “unverified”, never silently kept.</w:t>
      </w:r>
    </w:p>
    <w:p>
      <w:pPr>
        <w:pStyle w:val="Heading1"/>
      </w:pPr>
      <w:r>
        <w:t xml:space="preserve">10. Adaptation checklist</w:t>
      </w:r>
    </w:p>
    <w:p>
      <w:pPr>
        <w:spacing w:after="40"/>
      </w:pPr>
      <w:r>
        <w:rPr>
          <w:b/>
          <w:bCs/>
          <w:color w:val="2E5496"/>
          <w:sz w:val="16"/>
          <w:szCs w:val="16"/>
        </w:rPr>
        <w:t xml:space="preserve">Applicability: Mandatory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Replace every orange default with your tolerances; attach the matching core; map roles and sign-off to your governance; confirm the foundations resolve.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999999"/>
        <w:sz w:val="16"/>
        <w:szCs w:val="16"/>
      </w:rPr>
      <w:t xml:space="preserve">Model Validation Plan — Shell (adapt before use)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70" w:before="15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2026-06-17T13:24:05.568Z</dcterms:created>
  <dcterms:modified xsi:type="dcterms:W3CDTF">2026-06-17T13:24:05.569Z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