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AF15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bookmarkStart w:id="0" w:name="_GoBack"/>
      <w:bookmarkEnd w:id="0"/>
      <w:r w:rsidRPr="004B6062">
        <w:rPr>
          <w:rFonts w:cs="Arial"/>
          <w:sz w:val="22"/>
          <w:szCs w:val="22"/>
          <w:lang w:eastAsia="en-US"/>
        </w:rPr>
        <w:t>As the pandemic and recovery efforts continue, it is more crucial than ever that the Fund provide its member countries with sound technical support on their daily operations.</w:t>
      </w:r>
    </w:p>
    <w:p w14:paraId="5AE7B2D6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Forecasting short-term liquidity is central to Central Bank operations, and in this regard MCM together with ITD has developed a framework for forecasting central bank liquidity.</w:t>
      </w:r>
    </w:p>
    <w:p w14:paraId="05C49F67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 xml:space="preserve">Accurate forecasts of the autonomous factors are crucial to operate a monetary framework smoothly, strengthen monetary transmission, and tame interbank market volatility. </w:t>
      </w:r>
    </w:p>
    <w:p w14:paraId="6323D5DB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This framework will provide such forecasts utilizing the latest development in the statistical literature and an easy-to-use interface, improving on central bank operations in this time of volatility.</w:t>
      </w:r>
    </w:p>
    <w:p w14:paraId="70D02F89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</w:p>
    <w:p w14:paraId="476F95C1" w14:textId="1F202229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The framework, developed between MCM, world-class academics and ITD, entirely automates a set of forecasting models, featuring multiple model estimation,</w:t>
      </w:r>
      <w:r w:rsidR="004B0611">
        <w:rPr>
          <w:rFonts w:cs="Arial"/>
          <w:sz w:val="22"/>
          <w:szCs w:val="22"/>
          <w:lang w:eastAsia="en-US"/>
        </w:rPr>
        <w:t xml:space="preserve"> </w:t>
      </w:r>
      <w:r w:rsidRPr="004B6062">
        <w:rPr>
          <w:rFonts w:cs="Arial"/>
          <w:sz w:val="22"/>
          <w:szCs w:val="22"/>
          <w:lang w:eastAsia="en-US"/>
        </w:rPr>
        <w:t xml:space="preserve">automatic fine-tuning, model validation, dynamic selection on out-of-sample performances, forecasts reconciliation, and interactive report generation. </w:t>
      </w:r>
    </w:p>
    <w:p w14:paraId="1ED0F8A3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It has already been deployed to several countries for TA missions (Jordan, UAE, Namibia, Djibouti, Nicaragua, and Honduras), and more are coming.</w:t>
      </w:r>
    </w:p>
    <w:p w14:paraId="51DF51CA" w14:textId="5F040BC8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The forecasting methodology has been taught in three regional technical assistance centers (South East Asia, Middle East, Central America) as well.</w:t>
      </w:r>
    </w:p>
    <w:p w14:paraId="7F51A4A5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</w:p>
    <w:p w14:paraId="2A9392FC" w14:textId="4F390A4A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On the technical side, the framework not only forecasts the three main autonomous factors (currency in circulation, net foreign assets, and state account balance),</w:t>
      </w:r>
      <w:r w:rsidR="00713FA5">
        <w:rPr>
          <w:rFonts w:cs="Arial"/>
          <w:sz w:val="22"/>
          <w:szCs w:val="22"/>
          <w:lang w:eastAsia="en-US"/>
        </w:rPr>
        <w:t xml:space="preserve"> </w:t>
      </w:r>
      <w:r w:rsidRPr="004B6062">
        <w:rPr>
          <w:rFonts w:cs="Arial"/>
          <w:sz w:val="22"/>
          <w:szCs w:val="22"/>
          <w:lang w:eastAsia="en-US"/>
        </w:rPr>
        <w:t>but also reconciles the forecasts into an aggregated liquidity position.</w:t>
      </w:r>
    </w:p>
    <w:p w14:paraId="7A7AA2E3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This approach is entirely new, as most central banks only forecast currency in circulation with simple ARIMA models or based on expert judgement.</w:t>
      </w:r>
    </w:p>
    <w:p w14:paraId="4DC7DA65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</w:p>
    <w:p w14:paraId="07123F51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The collaboration with ITD has introduced several useful features, such as the generation of interactive HTML reports that allows easier and deeper inspection compared to static ones.</w:t>
      </w:r>
    </w:p>
    <w:p w14:paraId="6213CC1B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While the forecasting models are state-of-the-art, the entire framework is built on the open source R programming language, which allows all central banks to run them free of any cost.</w:t>
      </w:r>
    </w:p>
    <w:p w14:paraId="4AC091AD" w14:textId="5D53370E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The framework is built to run with a simple interface so that very little technical knowledge is needed to run the models and inspect the forecasts,</w:t>
      </w:r>
      <w:r w:rsidR="00713FA5">
        <w:rPr>
          <w:rFonts w:cs="Arial"/>
          <w:sz w:val="22"/>
          <w:szCs w:val="22"/>
          <w:lang w:eastAsia="en-US"/>
        </w:rPr>
        <w:t xml:space="preserve"> </w:t>
      </w:r>
      <w:r w:rsidRPr="004B6062">
        <w:rPr>
          <w:rFonts w:cs="Arial"/>
          <w:sz w:val="22"/>
          <w:szCs w:val="22"/>
          <w:lang w:eastAsia="en-US"/>
        </w:rPr>
        <w:t>while full details of models and forecasts are available for inspection if needed.</w:t>
      </w:r>
    </w:p>
    <w:p w14:paraId="454773F4" w14:textId="3AB57EC0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lastRenderedPageBreak/>
        <w:t>Furthermore, the entire source code is provided, allowing the authorities to make modifications if necessary and allowing further collaborative efforts with the Fund.</w:t>
      </w:r>
    </w:p>
    <w:p w14:paraId="44814556" w14:textId="552BD863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Further details of the framework will be described in an upcoming Working Paper, which should be available by the Spring Meetings.</w:t>
      </w:r>
    </w:p>
    <w:p w14:paraId="2AF159FF" w14:textId="5C656B53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The attached HTML document is an example HTML file that will be generated by the framework.</w:t>
      </w:r>
      <w:r w:rsidR="00F61692">
        <w:rPr>
          <w:rFonts w:cs="Arial"/>
          <w:sz w:val="22"/>
          <w:szCs w:val="22"/>
          <w:lang w:eastAsia="en-US"/>
        </w:rPr>
        <w:t xml:space="preserve"> </w:t>
      </w:r>
      <w:r w:rsidRPr="004B6062">
        <w:rPr>
          <w:rFonts w:cs="Arial"/>
          <w:sz w:val="22"/>
          <w:szCs w:val="22"/>
          <w:lang w:eastAsia="en-US"/>
        </w:rPr>
        <w:t>The charts are interactive and useful features such as hovering over data points to show values,</w:t>
      </w:r>
      <w:r w:rsidR="00903148">
        <w:rPr>
          <w:rFonts w:cs="Arial"/>
          <w:sz w:val="22"/>
          <w:szCs w:val="22"/>
          <w:lang w:eastAsia="en-US"/>
        </w:rPr>
        <w:t xml:space="preserve"> </w:t>
      </w:r>
      <w:r w:rsidRPr="004B6062">
        <w:rPr>
          <w:rFonts w:cs="Arial"/>
          <w:sz w:val="22"/>
          <w:szCs w:val="22"/>
          <w:lang w:eastAsia="en-US"/>
        </w:rPr>
        <w:t>zooming, panning, and double clicking on empty areas to toggle between the default view and the entire historical data are available.</w:t>
      </w:r>
    </w:p>
    <w:p w14:paraId="08164C27" w14:textId="77777777" w:rsidR="004B6062" w:rsidRPr="004B6062" w:rsidRDefault="004B6062" w:rsidP="004B6062">
      <w:pPr>
        <w:rPr>
          <w:rFonts w:cs="Arial"/>
          <w:sz w:val="22"/>
          <w:szCs w:val="22"/>
          <w:lang w:eastAsia="en-US"/>
        </w:rPr>
      </w:pPr>
      <w:r w:rsidRPr="004B6062">
        <w:rPr>
          <w:rFonts w:cs="Arial"/>
          <w:sz w:val="22"/>
          <w:szCs w:val="22"/>
          <w:lang w:eastAsia="en-US"/>
        </w:rPr>
        <w:t>These make the forecast results much more accessible and easy to use.</w:t>
      </w:r>
    </w:p>
    <w:p w14:paraId="249A9E80" w14:textId="77777777" w:rsidR="00A85FFB" w:rsidRPr="004B6062" w:rsidRDefault="00A85FFB" w:rsidP="003D2B61"/>
    <w:sectPr w:rsidR="00A85FFB" w:rsidRPr="004B6062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89F9" w14:textId="77777777" w:rsidR="00BE19E0" w:rsidRDefault="00BE19E0" w:rsidP="000B7010">
      <w:pPr>
        <w:spacing w:line="240" w:lineRule="auto"/>
      </w:pPr>
      <w:r>
        <w:separator/>
      </w:r>
    </w:p>
  </w:endnote>
  <w:endnote w:type="continuationSeparator" w:id="0">
    <w:p w14:paraId="108049C4" w14:textId="77777777" w:rsidR="00BE19E0" w:rsidRDefault="00BE19E0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A474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50AB" w14:textId="77777777" w:rsidR="00BE19E0" w:rsidRDefault="00BE19E0" w:rsidP="000B7010">
      <w:pPr>
        <w:spacing w:line="240" w:lineRule="auto"/>
      </w:pPr>
      <w:r>
        <w:separator/>
      </w:r>
    </w:p>
  </w:footnote>
  <w:footnote w:type="continuationSeparator" w:id="0">
    <w:p w14:paraId="2FE1AC06" w14:textId="77777777" w:rsidR="00BE19E0" w:rsidRDefault="00BE19E0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541D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D172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6"/>
  </w:num>
  <w:num w:numId="16">
    <w:abstractNumId w:val="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E0"/>
    <w:rsid w:val="00010FE9"/>
    <w:rsid w:val="00060690"/>
    <w:rsid w:val="00070765"/>
    <w:rsid w:val="000772A8"/>
    <w:rsid w:val="00082CC9"/>
    <w:rsid w:val="000A1AEE"/>
    <w:rsid w:val="000B7010"/>
    <w:rsid w:val="000F5251"/>
    <w:rsid w:val="00170414"/>
    <w:rsid w:val="001D081E"/>
    <w:rsid w:val="001D1E90"/>
    <w:rsid w:val="001F56B3"/>
    <w:rsid w:val="00214E05"/>
    <w:rsid w:val="00232FB2"/>
    <w:rsid w:val="002A693C"/>
    <w:rsid w:val="002E6FDB"/>
    <w:rsid w:val="00325E95"/>
    <w:rsid w:val="00332665"/>
    <w:rsid w:val="00355894"/>
    <w:rsid w:val="003712A7"/>
    <w:rsid w:val="00382DA8"/>
    <w:rsid w:val="00393E59"/>
    <w:rsid w:val="003C5BF0"/>
    <w:rsid w:val="003D2443"/>
    <w:rsid w:val="003D2B61"/>
    <w:rsid w:val="00451C7E"/>
    <w:rsid w:val="004B0611"/>
    <w:rsid w:val="004B0EDA"/>
    <w:rsid w:val="004B6062"/>
    <w:rsid w:val="004F3DA7"/>
    <w:rsid w:val="005122F5"/>
    <w:rsid w:val="00527B01"/>
    <w:rsid w:val="00531040"/>
    <w:rsid w:val="005B6103"/>
    <w:rsid w:val="005C0460"/>
    <w:rsid w:val="005E0D9D"/>
    <w:rsid w:val="005F722E"/>
    <w:rsid w:val="0060374F"/>
    <w:rsid w:val="0061550F"/>
    <w:rsid w:val="006C41BB"/>
    <w:rsid w:val="006F658C"/>
    <w:rsid w:val="00713FA5"/>
    <w:rsid w:val="007834AC"/>
    <w:rsid w:val="007C5573"/>
    <w:rsid w:val="007F425F"/>
    <w:rsid w:val="007F47DE"/>
    <w:rsid w:val="00807E50"/>
    <w:rsid w:val="00834E6F"/>
    <w:rsid w:val="00856CBD"/>
    <w:rsid w:val="00876A58"/>
    <w:rsid w:val="008A3DEB"/>
    <w:rsid w:val="00903148"/>
    <w:rsid w:val="009A4646"/>
    <w:rsid w:val="009C1E5E"/>
    <w:rsid w:val="009E1ED8"/>
    <w:rsid w:val="00A45840"/>
    <w:rsid w:val="00A70E79"/>
    <w:rsid w:val="00A85FFB"/>
    <w:rsid w:val="00BB45B2"/>
    <w:rsid w:val="00BE19E0"/>
    <w:rsid w:val="00CB3BED"/>
    <w:rsid w:val="00CE4A79"/>
    <w:rsid w:val="00D87E53"/>
    <w:rsid w:val="00E52EEF"/>
    <w:rsid w:val="00E81D0C"/>
    <w:rsid w:val="00E97ECC"/>
    <w:rsid w:val="00F0528B"/>
    <w:rsid w:val="00F078E4"/>
    <w:rsid w:val="00F32338"/>
    <w:rsid w:val="00F53B19"/>
    <w:rsid w:val="00F61692"/>
    <w:rsid w:val="00FB1A78"/>
    <w:rsid w:val="00F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C36"/>
  <w15:chartTrackingRefBased/>
  <w15:docId w15:val="{E4540780-68C5-45A4-B2CF-E57E51BB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03"/>
    <w:pPr>
      <w:spacing w:before="160" w:after="0" w:line="30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Lafarguette, Romain</dc:creator>
  <cp:keywords/>
  <dc:description/>
  <cp:lastModifiedBy>Lafarguette, Romain</cp:lastModifiedBy>
  <cp:revision>6</cp:revision>
  <dcterms:created xsi:type="dcterms:W3CDTF">2022-02-16T16:21:00Z</dcterms:created>
  <dcterms:modified xsi:type="dcterms:W3CDTF">2022-02-16T16:45:00Z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2022-02-16T16:21:02Z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d380d1b9-c801-4d73-8a9f-b6d4e6ea0c00</vt:lpwstr>
  </property>
  <property fmtid="{D5CDD505-2E9C-101B-9397-08002B2CF9AE}" pid="8" name="MSIP_Label_0c07ed86-5dc5-4593-ad03-a8684b843815_ContentBits">
    <vt:lpwstr>0</vt:lpwstr>
  </property>
</Properties>
</file>