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spacing w:after="40" w:before="0"/>
      </w:pPr>
      <w:r>
        <w:rPr>
          <w:rFonts w:ascii="Calibri" w:cs="Calibri" w:eastAsia="Calibri" w:hAnsi="Calibri"/>
          <w:b/>
          <w:bCs/>
          <w:color w:val="16324F"/>
          <w:sz w:val="40"/>
          <w:szCs w:val="40"/>
        </w:rPr>
        <w:t xml:space="preserve">SERVISNÍ NABÍDKA</w:t>
      </w:r>
    </w:p>
    <w:p>
      <w:pPr>
        <w:pBdr>
          <w:bottom w:val="single" w:color="E08A1E" w:sz="10" w:space="6"/>
        </w:pBdr>
        <w:spacing w:after="220"/>
      </w:pPr>
      <w:r>
        <w:rPr>
          <w:rFonts w:ascii="Calibri" w:cs="Calibri" w:eastAsia="Calibri" w:hAnsi="Calibri"/>
          <w:color w:val="5B6472"/>
          <w:sz w:val="22"/>
          <w:szCs w:val="22"/>
        </w:rPr>
        <w:t xml:space="preserve">Servis a údržba fotovoltaické elektrárny · «popisSpecifikace»</w:t>
      </w:r>
    </w:p>
    <w:p>
      <w:pPr>
        <w:spacing w:after="160" w:line="300"/>
      </w:pPr>
      <w:r>
        <w:rPr>
          <w:rFonts w:ascii="Calibri" w:cs="Calibri" w:eastAsia="Calibri" w:hAnsi="Calibri"/>
        </w:rPr>
        <w:t xml:space="preserve">Dobrý den,</w:t>
      </w:r>
    </w:p>
    <w:p>
      <w:pPr>
        <w:spacing w:after="160" w:line="300"/>
      </w:pPr>
      <w:r>
        <w:rPr>
          <w:rFonts w:ascii="Calibri" w:cs="Calibri" w:eastAsia="Calibri" w:hAnsi="Calibri"/>
        </w:rPr>
        <w:t xml:space="preserve">na základě Vaší poptávky Vám zasíláme nabídku servisu / údržby Vaší fotovoltaické elektrárny. Jsme elektrikářská firma Jurenka Elektro — elektroinstalace i fotovoltaiku děláme sami, bez zprostředkování subdodavatelů, s týmem, který se o Vás postará od diagnostiky až po opravu.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5B6472"/>
        </w:rPr>
        <w:t xml:space="preserve">[doplňte: co dalšího chcete v úvodu zmínit — zjištěná závada, rozsah prohlídky…]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6324F"/>
          <w:sz w:val="20"/>
          <w:szCs w:val="20"/>
        </w:rPr>
        <w:t xml:space="preserve">«tvarJmenoOZ»</w:t>
      </w:r>
    </w:p>
    <w:p>
      <w:pPr>
        <w:spacing w:after="260"/>
      </w:pPr>
      <w:r>
        <w:rPr>
          <w:rFonts w:ascii="Calibri" w:cs="Calibri" w:eastAsia="Calibri" w:hAnsi="Calibri"/>
          <w:color w:val="5B6472"/>
          <w:sz w:val="18"/>
          <w:szCs w:val="18"/>
        </w:rPr>
        <w:t xml:space="preserve">«tvarEmailOZ»   ·   «tvarTelefonOZ»</w:t>
      </w:r>
    </w:p>
    <w:p>
      <w:pPr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Proč Jurenka Elektro?</w:t>
      </w:r>
    </w:p>
    <w:p>
      <w:pPr>
        <w:spacing w:after="60"/>
        <w:ind w:left="316"/>
      </w:pPr>
      <w:r>
        <w:rPr>
          <w:rFonts w:ascii="Calibri" w:cs="Calibri" w:eastAsia="Calibri" w:hAnsi="Calibri"/>
          <w:b/>
          <w:bCs/>
          <w:color w:val="E08A1E"/>
        </w:rPr>
        <w:t xml:space="preserve">— </w:t>
      </w:r>
      <w:r>
        <w:rPr>
          <w:rFonts w:ascii="Calibri" w:cs="Calibri" w:eastAsia="Calibri" w:hAnsi="Calibri"/>
        </w:rPr>
        <w:t xml:space="preserve">Elektroinstalace i fotovoltaiku děláme sami, ve vlastním týmu — bez přeprodávání subdodavatelům.</w:t>
      </w:r>
    </w:p>
    <w:p>
      <w:pPr>
        <w:spacing w:after="60"/>
        <w:ind w:left="316"/>
      </w:pPr>
      <w:r>
        <w:rPr>
          <w:rFonts w:ascii="Calibri" w:cs="Calibri" w:eastAsia="Calibri" w:hAnsi="Calibri"/>
          <w:b/>
          <w:bCs/>
          <w:color w:val="E08A1E"/>
        </w:rPr>
        <w:t xml:space="preserve">— </w:t>
      </w:r>
      <w:r>
        <w:rPr>
          <w:rFonts w:ascii="Calibri" w:cs="Calibri" w:eastAsia="Calibri" w:hAnsi="Calibri"/>
          <w:i/>
          <w:iCs/>
          <w:color w:val="5B6472"/>
        </w:rPr>
        <w:t xml:space="preserve">[doplňte: další silná stránka — certifikace, reference, roky zkušeností…]</w:t>
      </w:r>
    </w:p>
    <w:p>
      <w:pPr>
        <w:spacing w:after="60"/>
        <w:ind w:left="316"/>
      </w:pPr>
      <w:r>
        <w:rPr>
          <w:rFonts w:ascii="Calibri" w:cs="Calibri" w:eastAsia="Calibri" w:hAnsi="Calibri"/>
          <w:b/>
          <w:bCs/>
          <w:color w:val="E08A1E"/>
        </w:rPr>
        <w:t xml:space="preserve">— </w:t>
      </w:r>
      <w:r>
        <w:rPr>
          <w:rFonts w:ascii="Calibri" w:cs="Calibri" w:eastAsia="Calibri" w:hAnsi="Calibri"/>
          <w:i/>
          <w:iCs/>
          <w:color w:val="5B6472"/>
        </w:rPr>
        <w:t xml:space="preserve">[doplňte: další silná stránka]</w:t>
      </w:r>
    </w:p>
    <w:p>
      <w:r>
        <w:br w:type="page"/>
      </w:r>
    </w:p>
    <w:p>
      <w:pPr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Specifikace servisované fotovoltaické elektrárny</w:t>
      </w:r>
    </w:p>
    <w:tbl>
      <w:tblPr>
        <w:tblW w:type="dxa" w:w="10204"/>
        <w:tblBorders>
          <w:top w:val="none"/>
          <w:left w:val="none"/>
          <w:bottom w:val="none"/>
          <w:right w:val="none"/>
          <w:insideH w:val="single" w:color="D9D9D9" w:sz="2"/>
          <w:insideV w:val="none"/>
        </w:tblBorders>
      </w:tblPr>
      <w:tblGrid>
        <w:gridCol w:w="3800"/>
        <w:gridCol w:w="6404"/>
      </w:tblGrid>
      <w:tr>
        <w:tc>
          <w:tcPr>
            <w:tcW w:type="dxa" w:w="38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5B6472"/>
                <w:sz w:val="20"/>
                <w:szCs w:val="20"/>
              </w:rPr>
              <w:t xml:space="preserve">Instalovaný výkon FVE</w:t>
            </w:r>
          </w:p>
        </w:tc>
        <w:tc>
          <w:tcPr>
            <w:tcW w:type="dxa" w:w="64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«instalovanyVykon»</w:t>
            </w:r>
          </w:p>
        </w:tc>
      </w:tr>
      <w:tr>
        <w:tc>
          <w:tcPr>
            <w:tcW w:type="dxa" w:w="38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5B6472"/>
                <w:sz w:val="20"/>
                <w:szCs w:val="20"/>
              </w:rPr>
              <w:t xml:space="preserve">Fotovoltaické panely</w:t>
            </w:r>
          </w:p>
        </w:tc>
        <w:tc>
          <w:tcPr>
            <w:tcW w:type="dxa" w:w="64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«panely»</w:t>
            </w:r>
          </w:p>
        </w:tc>
      </w:tr>
      <w:tr>
        <w:tc>
          <w:tcPr>
            <w:tcW w:type="dxa" w:w="38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5B6472"/>
                <w:sz w:val="20"/>
                <w:szCs w:val="20"/>
              </w:rPr>
              <w:t xml:space="preserve">Střídač</w:t>
            </w:r>
          </w:p>
        </w:tc>
        <w:tc>
          <w:tcPr>
            <w:tcW w:type="dxa" w:w="64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«stridac»</w:t>
            </w:r>
          </w:p>
        </w:tc>
      </w:tr>
      <w:tr>
        <w:tc>
          <w:tcPr>
            <w:tcW w:type="dxa" w:w="38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5B6472"/>
                <w:sz w:val="20"/>
                <w:szCs w:val="20"/>
              </w:rPr>
              <w:t xml:space="preserve">Baterie</w:t>
            </w:r>
          </w:p>
        </w:tc>
        <w:tc>
          <w:tcPr>
            <w:tcW w:type="dxa" w:w="64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«baterie»</w:t>
            </w:r>
          </w:p>
        </w:tc>
      </w:tr>
      <w:tr>
        <w:tc>
          <w:tcPr>
            <w:tcW w:type="dxa" w:w="38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5B6472"/>
                <w:sz w:val="20"/>
                <w:szCs w:val="20"/>
              </w:rPr>
              <w:t xml:space="preserve">AC rozvaděč</w:t>
            </w:r>
          </w:p>
        </w:tc>
        <w:tc>
          <w:tcPr>
            <w:tcW w:type="dxa" w:w="64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«acRozvadec»</w:t>
            </w:r>
          </w:p>
        </w:tc>
      </w:tr>
      <w:tr>
        <w:tc>
          <w:tcPr>
            <w:tcW w:type="dxa" w:w="38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5B6472"/>
                <w:sz w:val="20"/>
                <w:szCs w:val="20"/>
              </w:rPr>
              <w:t xml:space="preserve">Regulace</w:t>
            </w:r>
          </w:p>
        </w:tc>
        <w:tc>
          <w:tcPr>
            <w:tcW w:type="dxa" w:w="64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«regulace»</w:t>
            </w:r>
          </w:p>
        </w:tc>
      </w:tr>
      <w:tr>
        <w:tc>
          <w:tcPr>
            <w:tcW w:type="dxa" w:w="38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5B6472"/>
                <w:sz w:val="20"/>
                <w:szCs w:val="20"/>
              </w:rPr>
              <w:t xml:space="preserve">Nabíjecí stanice pro EV</w:t>
            </w:r>
          </w:p>
        </w:tc>
        <w:tc>
          <w:tcPr>
            <w:tcW w:type="dxa" w:w="64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«nabijeciStanice»</w:t>
            </w:r>
          </w:p>
        </w:tc>
      </w:tr>
      <w:tr>
        <w:tc>
          <w:tcPr>
            <w:tcW w:type="dxa" w:w="38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5B6472"/>
                <w:sz w:val="20"/>
                <w:szCs w:val="20"/>
              </w:rPr>
              <w:t xml:space="preserve">Cena servisu / úpravy</w:t>
            </w:r>
          </w:p>
        </w:tc>
        <w:tc>
          <w:tcPr>
            <w:tcW w:type="dxa" w:w="64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«cenaCelkem»</w:t>
            </w:r>
          </w:p>
        </w:tc>
      </w:tr>
    </w:tbl>
    <w:p>
      <w:pPr>
        <w:spacing w:after="260" w:before="180"/>
      </w:pPr>
      <w:r>
        <w:rPr>
          <w:rFonts w:ascii="Calibri" w:cs="Calibri" w:eastAsia="Calibri" w:hAnsi="Calibri"/>
          <w:i/>
          <w:iCs/>
          <w:color w:val="5B6472"/>
          <w:sz w:val="20"/>
          <w:szCs w:val="20"/>
        </w:rPr>
        <w:t xml:space="preserve">Platnost nabídky je «platnostNabidky» od doručení. Ceny jsou «dph».</w:t>
      </w:r>
    </w:p>
    <w:p>
      <w:pPr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Platební podmínky</w:t>
      </w:r>
    </w:p>
    <w:tbl>
      <w:tblPr>
        <w:tblW w:type="dxa" w:w="10204"/>
        <w:tblBorders>
          <w:top w:val="none"/>
          <w:left w:val="none"/>
          <w:bottom w:val="none"/>
          <w:right w:val="none"/>
          <w:insideH w:val="single" w:color="D9D9D9" w:sz="2"/>
          <w:insideV w:val="none"/>
        </w:tblBorders>
      </w:tblPr>
      <w:tblGrid>
        <w:gridCol w:w="3800"/>
        <w:gridCol w:w="6404"/>
      </w:tblGrid>
      <w:tr>
        <w:tc>
          <w:tcPr>
            <w:tcW w:type="dxa" w:w="38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5B6472"/>
                <w:sz w:val="20"/>
                <w:szCs w:val="20"/>
              </w:rPr>
              <w:t xml:space="preserve">1. Zálohová platba</w:t>
            </w:r>
          </w:p>
        </w:tc>
        <w:tc>
          <w:tcPr>
            <w:tcW w:type="dxa" w:w="64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«zaloha» z celkové ceny — «kdySePlatiZaloha»</w:t>
            </w:r>
          </w:p>
        </w:tc>
      </w:tr>
      <w:tr>
        <w:tc>
          <w:tcPr>
            <w:tcW w:type="dxa" w:w="3800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color w:val="5B6472"/>
                <w:sz w:val="20"/>
                <w:szCs w:val="20"/>
              </w:rPr>
              <w:t xml:space="preserve">2. Konečná platba</w:t>
            </w:r>
          </w:p>
        </w:tc>
        <w:tc>
          <w:tcPr>
            <w:tcW w:type="dxa" w:w="6404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«doplatek» z celkové ceny — po dokončení servisu a otestování funkčnosti</w:t>
            </w:r>
          </w:p>
        </w:tc>
      </w:tr>
    </w:tbl>
    <w:p>
      <w:pPr>
        <w:spacing w:before="260"/>
      </w:pPr>
    </w:p>
    <w:p>
      <w:pPr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Co je a co není v ceně</w:t>
      </w:r>
    </w:p>
    <w:tbl>
      <w:tblPr>
        <w:tblW w:type="dxa" w:w="10204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02"/>
        <w:gridCol w:w="5102"/>
      </w:tblGrid>
      <w:tr>
        <w:tc>
          <w:tcPr>
            <w:tcW w:type="dxa" w:w="5102"/>
            <w:tcMar>
              <w:top w:type="dxa" w:w="100"/>
              <w:left w:type="dxa" w:w="60"/>
              <w:bottom w:type="dxa" w:w="100"/>
              <w:right w:type="dxa" w:w="12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2F8F5B"/>
                <w:sz w:val="20"/>
                <w:szCs w:val="20"/>
              </w:rPr>
              <w:t xml:space="preserve">Cena ZAHRNUJE</w:t>
            </w:r>
          </w:p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«#zahrnuto»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F8F5B"/>
                <w:sz w:val="18"/>
                <w:szCs w:val="18"/>
              </w:rPr>
              <w:t xml:space="preserve">— </w:t>
            </w: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«.»</w:t>
            </w:r>
          </w:p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«/zahrnuto»</w:t>
            </w:r>
          </w:p>
        </w:tc>
        <w:tc>
          <w:tcPr>
            <w:tcW w:type="dxa" w:w="5102"/>
            <w:tcMar>
              <w:top w:type="dxa" w:w="100"/>
              <w:left w:type="dxa" w:w="120"/>
              <w:bottom w:type="dxa" w:w="100"/>
              <w:right w:type="dxa" w:w="6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C23B3B"/>
                <w:sz w:val="20"/>
                <w:szCs w:val="20"/>
              </w:rPr>
              <w:t xml:space="preserve">Cena NEZAHRNUJE</w:t>
            </w:r>
          </w:p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«#nezahrnuto»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23B3B"/>
                <w:sz w:val="18"/>
                <w:szCs w:val="18"/>
              </w:rPr>
              <w:t xml:space="preserve">— </w:t>
            </w:r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«.»</w:t>
            </w:r>
          </w:p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«/nezahrnuto»</w:t>
            </w:r>
          </w:p>
        </w:tc>
      </w:tr>
    </w:tbl>
    <w:p>
      <w:r>
        <w:br w:type="page"/>
      </w:r>
    </w:p>
    <w:p>
      <w:pPr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Termín provedení</w:t>
      </w:r>
    </w:p>
    <w:p>
      <w:pPr>
        <w:spacing w:after="160" w:line="300"/>
      </w:pPr>
      <w:r>
        <w:rPr>
          <w:rFonts w:ascii="Calibri" w:cs="Calibri" w:eastAsia="Calibri" w:hAnsi="Calibri"/>
        </w:rPr>
        <w:t xml:space="preserve">Servis provedeme do «terminProvedeni» od odsouhlasení nabídky.</w:t>
      </w:r>
    </w:p>
    <w:p>
      <w:pPr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Záruční podmínky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404"/>
      </w:tblGrid>
      <w:tr>
        <w:trPr>
          <w:tblHeader/>
        </w:trPr>
        <w:tc>
          <w:tcPr>
            <w:tcW w:type="dxa" w:w="4800"/>
            <w:shd w:fill="16324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Komponenta / díl</w:t>
            </w:r>
          </w:p>
        </w:tc>
        <w:tc>
          <w:tcPr>
            <w:tcW w:type="dxa" w:w="5404"/>
            <w:shd w:fill="16324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Záruka</w:t>
            </w:r>
          </w:p>
        </w:tc>
      </w:tr>
      <w:tr>
        <w:tc>
          <w:tcPr>
            <w:tcW w:type="dxa" w:w="4800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Nově dodaný / vyměněný materiál</w:t>
            </w:r>
          </w:p>
        </w:tc>
        <w:tc>
          <w:tcPr>
            <w:tcW w:type="dxa" w:w="5404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324F"/>
                <w:sz w:val="18"/>
                <w:szCs w:val="18"/>
              </w:rPr>
              <w:t xml:space="preserve">«zaruka_material»</w:t>
            </w:r>
          </w:p>
        </w:tc>
      </w:tr>
      <w:tr>
        <w:tc>
          <w:tcPr>
            <w:tcW w:type="dxa" w:w="4800"/>
            <w:shd w:fill="F4F1EA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color w:val="1A1A1A"/>
                <w:sz w:val="18"/>
                <w:szCs w:val="18"/>
              </w:rPr>
              <w:t xml:space="preserve">Provedená servisní práce</w:t>
            </w:r>
          </w:p>
        </w:tc>
        <w:tc>
          <w:tcPr>
            <w:tcW w:type="dxa" w:w="5404"/>
            <w:shd w:fill="F4F1EA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6324F"/>
                <w:sz w:val="18"/>
                <w:szCs w:val="18"/>
              </w:rPr>
              <w:t xml:space="preserve">«zaruka_prace»</w:t>
            </w:r>
          </w:p>
        </w:tc>
      </w:tr>
    </w:tbl>
    <w:p>
      <w:pPr>
        <w:spacing w:before="260"/>
      </w:pPr>
    </w:p>
    <w:p>
      <w:pPr>
        <w:pBdr>
          <w:bottom w:val="single" w:color="E08A1E" w:sz="6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6324F"/>
          <w:sz w:val="24"/>
          <w:szCs w:val="24"/>
        </w:rPr>
        <w:t xml:space="preserve">Jak probíhá servis s Jurenka Elektro</w:t>
      </w:r>
    </w:p>
    <w:p>
      <w:pPr>
        <w:spacing w:after="70"/>
        <w:ind w:left="316"/>
      </w:pPr>
      <w:r>
        <w:rPr>
          <w:rFonts w:ascii="Calibri" w:cs="Calibri" w:eastAsia="Calibri" w:hAnsi="Calibri"/>
          <w:b/>
          <w:bCs/>
          <w:color w:val="E08A1E"/>
        </w:rPr>
        <w:t xml:space="preserve">1.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Nahlášení požadavku a domluva termínu.</w:t>
      </w:r>
    </w:p>
    <w:p>
      <w:pPr>
        <w:spacing w:after="70"/>
        <w:ind w:left="316"/>
      </w:pPr>
      <w:r>
        <w:rPr>
          <w:rFonts w:ascii="Calibri" w:cs="Calibri" w:eastAsia="Calibri" w:hAnsi="Calibri"/>
          <w:b/>
          <w:bCs/>
          <w:color w:val="E08A1E"/>
        </w:rPr>
        <w:t xml:space="preserve">2.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Diagnostika nebo prohlídka na místě.</w:t>
      </w:r>
    </w:p>
    <w:p>
      <w:pPr>
        <w:spacing w:after="70"/>
        <w:ind w:left="316"/>
      </w:pPr>
      <w:r>
        <w:rPr>
          <w:rFonts w:ascii="Calibri" w:cs="Calibri" w:eastAsia="Calibri" w:hAnsi="Calibri"/>
          <w:b/>
          <w:bCs/>
          <w:color w:val="E08A1E"/>
        </w:rPr>
        <w:t xml:space="preserve">3.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Nabídka na servis nebo opravu — tento dokument.</w:t>
      </w:r>
    </w:p>
    <w:p>
      <w:pPr>
        <w:spacing w:after="70"/>
        <w:ind w:left="316"/>
      </w:pPr>
      <w:r>
        <w:rPr>
          <w:rFonts w:ascii="Calibri" w:cs="Calibri" w:eastAsia="Calibri" w:hAnsi="Calibri"/>
          <w:b/>
          <w:bCs/>
          <w:color w:val="E08A1E"/>
        </w:rPr>
        <w:t xml:space="preserve">4.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Odsouhlasení nabídky.</w:t>
      </w:r>
    </w:p>
    <w:p>
      <w:pPr>
        <w:spacing w:after="70"/>
        <w:ind w:left="316"/>
      </w:pPr>
      <w:r>
        <w:rPr>
          <w:rFonts w:ascii="Calibri" w:cs="Calibri" w:eastAsia="Calibri" w:hAnsi="Calibri"/>
          <w:b/>
          <w:bCs/>
          <w:color w:val="E08A1E"/>
        </w:rPr>
        <w:t xml:space="preserve">5.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Provedení servisu a předání.</w:t>
      </w:r>
    </w:p>
    <w:sectPr>
      <w:headerReference w:type="default" r:id="rId10"/>
      <w:footerReference w:type="default" r:id="rId11"/>
      <w:type w:val="nextPage"/>
      <w:pgSz w:w="11906" w:h="16838"/>
      <w:pgMar w:left="851" w:right="851" w:gutter="0" w:header="0" w:top="2268" w:footer="284" w:bottom="170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Poppins Light">
    <w:charset w:val="ee" w:characterSet="windows-1250"/>
    <w:family w:val="auto"/>
    <w:pitch w:val="variable"/>
  </w:font>
  <w:font w:name="Poppins Medium">
    <w:charset w:val="ee" w:characterSet="windows-1250"/>
    <w:family w:val="auto"/>
    <w:pitch w:val="variable"/>
  </w:font>
  <w:font w:name="Cambria">
    <w:charset w:val="ee" w:characterSet="windows-1250"/>
    <w:family w:val="roman"/>
    <w:pitch w:val="variable"/>
  </w:font>
  <w:font w:name="Arial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9072"/>
        <w:tab w:val="right" w:pos="9746" w:leader="none"/>
      </w:tabs>
      <w:rPr>
        <w:rStyle w:val="preformatted"/>
        <w:rFonts w:ascii="Arial" w:hAnsi="Arial" w:cs="Arial"/>
        <w:color w:val="FFFFFF"/>
        <w:sz w:val="18"/>
        <w:szCs w:val="18"/>
      </w:rPr>
    </w:pPr>
    <w:r>
      <w:drawing>
        <wp:anchor distT="0" distB="0" distL="114935" distR="114935" simplePos="0" relativeHeight="12" behindDoc="1" locked="0" layoutInCell="1" allowOverlap="1">
          <wp:simplePos x="0" y="0"/>
          <wp:positionH relativeFrom="column">
            <wp:posOffset>-540385</wp:posOffset>
          </wp:positionH>
          <wp:positionV relativeFrom="paragraph">
            <wp:posOffset>-118110</wp:posOffset>
          </wp:positionV>
          <wp:extent cx="7560310" cy="1114425"/>
          <wp:effectExtent l="0" t="0" r="0" b="0"/>
          <wp:wrapNone/>
          <wp:docPr id="24" name="Zápatí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Zápatí-0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37860" r="-5" b="-29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114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Style w:val="preformatted"/>
        <w:rFonts w:cs="Arial" w:ascii="Arial" w:hAnsi="Arial"/>
        <w:b/>
        <w:bCs/>
        <w:color w:val="FFFFFF"/>
        <w:sz w:val="18"/>
        <w:szCs w:val="18"/>
      </w:rPr>
      <w:t>Jurenka Elektro s.r.o.</w:t>
      <w:tab/>
      <w:tab/>
      <w:t>www.jurenkaelektro.cz</w:t>
    </w:r>
  </w:p>
  <w:p>
    <w:pPr>
      <w:pStyle w:val="Footer"/>
      <w:tabs>
        <w:tab w:val="clear" w:pos="4536"/>
        <w:tab w:val="clear" w:pos="9072"/>
        <w:tab w:val="left" w:pos="5930" w:leader="none"/>
      </w:tabs>
      <w:rPr>
        <w:rFonts w:ascii="Arial" w:hAnsi="Arial" w:cs="Arial"/>
        <w:color w:val="FFFFFF"/>
        <w:sz w:val="18"/>
        <w:szCs w:val="18"/>
      </w:rPr>
    </w:pPr>
    <w:r>
      <w:rPr>
        <w:rStyle w:val="nowrap"/>
        <w:rFonts w:cs="Arial" w:ascii="Arial" w:hAnsi="Arial"/>
        <w:color w:val="FFFFFF"/>
        <w:sz w:val="18"/>
        <w:szCs w:val="18"/>
      </w:rPr>
      <w:t>Riegrova 394/17, 779 00, Olomouc</w:t>
      <w:tab/>
    </w:r>
  </w:p>
  <w:p>
    <w:pPr>
      <w:pStyle w:val="Footer"/>
      <w:tabs>
        <w:tab w:val="clear" w:pos="4536"/>
        <w:tab w:val="clear" w:pos="9072"/>
        <w:tab w:val="left" w:pos="6040" w:leader="none"/>
      </w:tabs>
      <w:rPr>
        <w:rFonts w:ascii="Arial" w:hAnsi="Arial" w:cs="Arial"/>
        <w:color w:val="FFFFFF"/>
        <w:sz w:val="18"/>
        <w:szCs w:val="18"/>
      </w:rPr>
    </w:pPr>
    <w:r>
      <w:rPr>
        <w:rFonts w:cs="Arial" w:ascii="Arial" w:hAnsi="Arial"/>
        <w:color w:val="FFFFFF"/>
        <w:sz w:val="18"/>
        <w:szCs w:val="18"/>
      </w:rPr>
      <w:t>IČ: 19147813</w:t>
    </w:r>
  </w:p>
  <w:p>
    <w:pPr>
      <w:pStyle w:val="Footer"/>
      <w:tabs>
        <w:tab w:val="clear" w:pos="9072"/>
        <w:tab w:val="left" w:pos="6040" w:leader="none"/>
        <w:tab w:val="right" w:pos="9746" w:leader="none"/>
      </w:tabs>
      <w:rPr>
        <w:color w:val="FFFFFF"/>
        <w:sz w:val="24"/>
        <w:szCs w:val="24"/>
      </w:rPr>
    </w:pPr>
    <w:r>
      <w:rPr>
        <w:rStyle w:val="nowrap"/>
        <w:rFonts w:cs="Arial" w:ascii="Arial" w:hAnsi="Arial"/>
        <w:color w:val="FFFFFF"/>
        <w:sz w:val="18"/>
        <w:szCs w:val="18"/>
      </w:rPr>
      <w:t>Infolinka: +420 702 172 622, e-mail:</w:t>
    </w:r>
    <w:hyperlink r:id="rId2">
      <w:r>
        <w:rPr>
          <w:rStyle w:val="Hyperlink"/>
          <w:rFonts w:cs="Arial" w:ascii="Arial" w:hAnsi="Arial"/>
          <w:color w:val="FFFFFF"/>
          <w:sz w:val="18"/>
          <w:szCs w:val="18"/>
        </w:rPr>
        <w:t>info@jurenkaelektro.cz</w:t>
      </w:r>
    </w:hyperlink>
    <w:r>
      <w:rPr>
        <w:rStyle w:val="nowrap"/>
        <w:color w:val="FFFFFF"/>
        <w:sz w:val="24"/>
        <w:szCs w:val="24"/>
      </w:rPr>
      <w:tab/>
      <w:tab/>
    </w:r>
    <w:r>
      <w:rPr>
        <w:color w:val="FFFFFF"/>
        <w:sz w:val="24"/>
        <w:szCs w:val="24"/>
      </w:rPr>
      <w:t xml:space="preserve">Stránka | </w:t>
    </w:r>
    <w:r>
      <w:rPr>
        <w:rStyle w:val="nowrap"/>
        <w:color w:val="FFFFFF"/>
        <w:sz w:val="24"/>
        <w:szCs w:val="24"/>
      </w:rPr>
      <w:fldChar w:fldCharType="begin"/>
    </w:r>
    <w:r>
      <w:rPr>
        <w:rStyle w:val="nowrap"/>
        <w:color w:val="FFFFFF"/>
        <w:sz w:val="24"/>
        <w:szCs w:val="24"/>
      </w:rPr>
      <w:instrText xml:space="preserve"> PAGE </w:instrText>
    </w:r>
    <w:r>
      <w:rPr>
        <w:rStyle w:val="nowrap"/>
        <w:color w:val="FFFFFF"/>
        <w:sz w:val="24"/>
        <w:szCs w:val="24"/>
      </w:rPr>
      <w:fldChar w:fldCharType="separate"/>
    </w:r>
    <w:r>
      <w:rPr>
        <w:rStyle w:val="nowrap"/>
        <w:color w:val="FFFFFF"/>
        <w:sz w:val="24"/>
        <w:szCs w:val="24"/>
      </w:rPr>
      <w:t>5</w:t>
    </w:r>
    <w:r>
      <w:rPr>
        <w:rStyle w:val="nowrap"/>
        <w:color w:val="FFFFFF"/>
        <w:sz w:val="24"/>
        <w:szCs w:val="24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lang w:val="en-US" w:eastAsia="en-US"/>
      </w:rPr>
      <w:drawing>
        <wp:anchor distT="0" distB="0" distL="114935" distR="114935" simplePos="0" relativeHeight="7" behindDoc="1" locked="0" layoutInCell="1" allowOverlap="1">
          <wp:simplePos x="0" y="0"/>
          <wp:positionH relativeFrom="column">
            <wp:posOffset>-565785</wp:posOffset>
          </wp:positionH>
          <wp:positionV relativeFrom="paragraph">
            <wp:posOffset>635</wp:posOffset>
          </wp:positionV>
          <wp:extent cx="7560310" cy="1400810"/>
          <wp:effectExtent l="0" t="0" r="0" b="0"/>
          <wp:wrapNone/>
          <wp:docPr id="23" name="Záhlaví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Záhlaví-0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26" r="-5" b="-26"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4008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57" w:before="0" w:after="160"/>
    </w:pPr>
    <w:rPr>
      <w:rFonts w:ascii="Poppins Light" w:hAnsi="Poppins Light" w:eastAsia="Poppins Light" w:cs="Times New Roman"/>
      <w:color w:val="auto"/>
      <w:sz w:val="22"/>
      <w:szCs w:val="22"/>
      <w:lang w:val="cs-CZ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before="240" w:after="0"/>
      <w:outlineLvl w:val="0"/>
    </w:pPr>
    <w:rPr>
      <w:rFonts w:ascii="Poppins Medium" w:hAnsi="Poppins Medium" w:eastAsia="Times New Roman" w:cs="Times New Roman"/>
      <w:color w:val="122B4C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before="40" w:after="0"/>
      <w:outlineLvl w:val="1"/>
    </w:pPr>
    <w:rPr>
      <w:rFonts w:ascii="Poppins Medium" w:hAnsi="Poppins Medium" w:eastAsia="Times New Roman" w:cs="Times New Roman"/>
      <w:color w:val="122B4C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before="40" w:after="0"/>
      <w:outlineLvl w:val="2"/>
    </w:pPr>
    <w:rPr>
      <w:rFonts w:ascii="Poppins Medium" w:hAnsi="Poppins Medium" w:eastAsia="Times New Roman" w:cs="Times New Roman"/>
      <w:color w:val="0C1C33"/>
      <w:sz w:val="24"/>
      <w:szCs w:val="24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Poppins Medium" w:hAnsi="Poppins Medium" w:eastAsia="Times New Roman" w:cs="Times New Roman"/>
      <w:i/>
      <w:iCs/>
      <w:color w:val="122B4C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Poppins Medium" w:hAnsi="Poppins Medium" w:eastAsia="Times New Roman" w:cs="Times New Roman"/>
      <w:color w:val="122B4C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Poppins Medium" w:hAnsi="Poppins Medium" w:eastAsia="Times New Roman" w:cs="Times New Roman"/>
      <w:color w:val="0C1C33"/>
    </w:rPr>
  </w:style>
  <w:style w:type="character" w:styleId="Standardnpsmoodstavce">
    <w:name w:val="Standardní písmo odstavce"/>
    <w:qFormat/>
    <w:rPr/>
  </w:style>
  <w:style w:type="character" w:styleId="CitaceintenzivnChar">
    <w:name w:val="Citace – intenzivní Char"/>
    <w:qFormat/>
    <w:rPr>
      <w:i/>
      <w:iCs/>
      <w:color w:val="193A67"/>
    </w:rPr>
  </w:style>
  <w:style w:type="character" w:styleId="Nadpis1Char">
    <w:name w:val="Nadpis 1 Char"/>
    <w:qFormat/>
    <w:rPr>
      <w:rFonts w:ascii="Poppins Medium" w:hAnsi="Poppins Medium" w:eastAsia="Times New Roman" w:cs="Times New Roman"/>
      <w:color w:val="122B4C"/>
      <w:sz w:val="32"/>
      <w:szCs w:val="32"/>
    </w:rPr>
  </w:style>
  <w:style w:type="character" w:styleId="Nadpis2Char">
    <w:name w:val="Nadpis 2 Char"/>
    <w:qFormat/>
    <w:rPr>
      <w:rFonts w:ascii="Poppins Medium" w:hAnsi="Poppins Medium" w:eastAsia="Times New Roman" w:cs="Times New Roman"/>
      <w:color w:val="122B4C"/>
      <w:sz w:val="26"/>
      <w:szCs w:val="26"/>
    </w:rPr>
  </w:style>
  <w:style w:type="character" w:styleId="Nadpis3Char">
    <w:name w:val="Nadpis 3 Char"/>
    <w:qFormat/>
    <w:rPr>
      <w:rFonts w:ascii="Poppins Medium" w:hAnsi="Poppins Medium" w:eastAsia="Times New Roman" w:cs="Times New Roman"/>
      <w:color w:val="0C1C33"/>
      <w:sz w:val="24"/>
      <w:szCs w:val="24"/>
    </w:rPr>
  </w:style>
  <w:style w:type="character" w:styleId="Nadpis4Char">
    <w:name w:val="Nadpis 4 Char"/>
    <w:qFormat/>
    <w:rPr>
      <w:rFonts w:ascii="Poppins Medium" w:hAnsi="Poppins Medium" w:eastAsia="Times New Roman" w:cs="Times New Roman"/>
      <w:i/>
      <w:iCs/>
      <w:color w:val="122B4C"/>
    </w:rPr>
  </w:style>
  <w:style w:type="character" w:styleId="NzevChar">
    <w:name w:val="Název Char"/>
    <w:qFormat/>
    <w:rPr>
      <w:rFonts w:ascii="Poppins Medium" w:hAnsi="Poppins Medium" w:eastAsia="Times New Roman" w:cs="Times New Roman"/>
      <w:color w:val="193A67"/>
      <w:spacing w:val="-10"/>
      <w:kern w:val="2"/>
      <w:sz w:val="56"/>
      <w:szCs w:val="56"/>
    </w:rPr>
  </w:style>
  <w:style w:type="character" w:styleId="Zdraznnjemn">
    <w:name w:val="Zdůraznění – jemné"/>
    <w:qFormat/>
    <w:rPr>
      <w:i/>
      <w:iCs/>
      <w:color w:val="404040"/>
    </w:rPr>
  </w:style>
  <w:style w:type="character" w:styleId="Emphasis">
    <w:name w:val="Emphasis"/>
    <w:qFormat/>
    <w:rPr>
      <w:i/>
      <w:iCs/>
    </w:rPr>
  </w:style>
  <w:style w:type="character" w:styleId="Zdraznnintenzivn">
    <w:name w:val="Zdůraznění – intenzivní"/>
    <w:qFormat/>
    <w:rPr>
      <w:i/>
      <w:iCs/>
      <w:color w:val="193A67"/>
    </w:rPr>
  </w:style>
  <w:style w:type="character" w:styleId="PodnadpisChar">
    <w:name w:val="Podnadpis Char"/>
    <w:qFormat/>
    <w:rPr>
      <w:rFonts w:eastAsia="Times New Roman"/>
      <w:color w:val="5A5A5A"/>
      <w:spacing w:val="15"/>
    </w:rPr>
  </w:style>
  <w:style w:type="character" w:styleId="ZhlavChar">
    <w:name w:val="Záhlaví Char"/>
    <w:basedOn w:val="Standardnpsmoodstavce"/>
    <w:qFormat/>
    <w:rPr/>
  </w:style>
  <w:style w:type="character" w:styleId="ZpatChar">
    <w:name w:val="Zápatí Char"/>
    <w:basedOn w:val="Standardnpsmoodstavce"/>
    <w:qFormat/>
    <w:rPr/>
  </w:style>
  <w:style w:type="character" w:styleId="Hyperlink">
    <w:name w:val="Hyperlink"/>
    <w:rPr>
      <w:color w:val="193A67"/>
      <w:u w:val="single"/>
    </w:rPr>
  </w:style>
  <w:style w:type="character" w:styleId="nowrap">
    <w:name w:val="nowrap"/>
    <w:basedOn w:val="Standardnpsmoodstavce"/>
    <w:qFormat/>
    <w:rPr/>
  </w:style>
  <w:style w:type="character" w:styleId="preformatted">
    <w:name w:val="preformatted"/>
    <w:basedOn w:val="Standardnpsmoodstavce"/>
    <w:qFormat/>
    <w:rPr/>
  </w:style>
  <w:style w:type="character" w:styleId="UnresolvedMention">
    <w:name w:val="Unresolved Mention"/>
    <w:qFormat/>
    <w:rPr>
      <w:color w:val="605E5C"/>
      <w:shd w:fill="E1DFDD" w:val="clear"/>
    </w:rPr>
  </w:style>
  <w:style w:type="character" w:styleId="FollowedHyperlink">
    <w:name w:val="FollowedHyperlink"/>
    <w:rPr>
      <w:color w:val="FAEA27"/>
      <w:u w:val="single"/>
    </w:rPr>
  </w:style>
  <w:style w:type="character" w:styleId="Nadpis5Char">
    <w:name w:val="Nadpis 5 Char"/>
    <w:qFormat/>
    <w:rPr>
      <w:rFonts w:ascii="Poppins Medium" w:hAnsi="Poppins Medium" w:eastAsia="Times New Roman" w:cs="Times New Roman"/>
      <w:color w:val="122B4C"/>
    </w:rPr>
  </w:style>
  <w:style w:type="character" w:styleId="Nadpis6Char">
    <w:name w:val="Nadpis 6 Char"/>
    <w:qFormat/>
    <w:rPr>
      <w:rFonts w:ascii="Poppins Medium" w:hAnsi="Poppins Medium" w:eastAsia="Times New Roman" w:cs="Times New Roman"/>
      <w:color w:val="0C1C33"/>
    </w:rPr>
  </w:style>
  <w:style w:type="character" w:styleId="Strong">
    <w:name w:val="Strong"/>
    <w:qFormat/>
    <w:rPr>
      <w:b/>
      <w:bCs/>
      <w:color w:val="193A67"/>
      <w:sz w:val="24"/>
      <w:szCs w:val="24"/>
    </w:rPr>
  </w:style>
  <w:style w:type="character" w:styleId="ContactHeading">
    <w:name w:val="Contact Heading"/>
    <w:qFormat/>
    <w:rPr>
      <w:rFonts w:ascii="Cambria" w:hAnsi="Cambria" w:eastAsia="MS Gothic;ＭＳ ゴシック" w:cs="Times New Roman"/>
      <w:color w:val="4F81BD"/>
      <w:sz w:val="18"/>
    </w:rPr>
  </w:style>
  <w:style w:type="paragraph" w:styleId="Heading">
    <w:name w:val="Heading"/>
    <w:basedOn w:val="Normal"/>
    <w:next w:val="Normal"/>
    <w:qFormat/>
    <w:pPr>
      <w:spacing w:lineRule="auto" w:line="240" w:before="0" w:after="0"/>
      <w:contextualSpacing/>
    </w:pPr>
    <w:rPr>
      <w:rFonts w:ascii="Poppins Medium" w:hAnsi="Poppins Medium" w:eastAsia="Times New Roman" w:cs="Times New Roman"/>
      <w:color w:val="193A67"/>
      <w:spacing w:val="-10"/>
      <w:kern w:val="2"/>
      <w:sz w:val="56"/>
      <w:szCs w:val="56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Citaceintenzivn">
    <w:name w:val="Citace – intenzivní"/>
    <w:basedOn w:val="Normal"/>
    <w:next w:val="Normal"/>
    <w:qFormat/>
    <w:pPr>
      <w:pBdr>
        <w:top w:val="single" w:sz="4" w:space="10" w:color="193A67"/>
        <w:bottom w:val="single" w:sz="4" w:space="10" w:color="193A67"/>
      </w:pBdr>
      <w:spacing w:before="360" w:after="360"/>
      <w:ind w:hanging="0" w:start="864" w:end="864"/>
      <w:jc w:val="center"/>
    </w:pPr>
    <w:rPr>
      <w:i/>
      <w:iCs/>
      <w:color w:val="193A67"/>
    </w:rPr>
  </w:style>
  <w:style w:type="paragraph" w:styleId="Subtitle">
    <w:name w:val="Subtitle"/>
    <w:basedOn w:val="Normal"/>
    <w:next w:val="Normal"/>
    <w:qFormat/>
    <w:pPr/>
    <w:rPr>
      <w:rFonts w:eastAsia="Times New Roman"/>
      <w:color w:val="5A5A5A"/>
      <w:spacing w:val="15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pPr>
      <w:tabs>
        <w:tab w:val="clear" w:pos="709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Bezmezer">
    <w:name w:val="Bez mezer"/>
    <w:qFormat/>
    <w:pPr>
      <w:widowControl/>
      <w:bidi w:val="0"/>
    </w:pPr>
    <w:rPr>
      <w:rFonts w:ascii="Poppins Light" w:hAnsi="Poppins Light" w:eastAsia="Poppins Light" w:cs="Times New Roman"/>
      <w:color w:val="auto"/>
      <w:sz w:val="22"/>
      <w:szCs w:val="22"/>
      <w:lang w:val="cs-CZ" w:bidi="ar-SA" w:eastAsia="zh-CN"/>
    </w:rPr>
  </w:style>
  <w:style w:type="paragraph" w:styleId="Titulek">
    <w:name w:val="Titulek"/>
    <w:basedOn w:val="Normal"/>
    <w:next w:val="Normal"/>
    <w:qFormat/>
    <w:pPr>
      <w:spacing w:lineRule="auto" w:line="240" w:before="0" w:after="200"/>
    </w:pPr>
    <w:rPr>
      <w:i/>
      <w:iCs/>
      <w:color w:val="44546A"/>
      <w:sz w:val="18"/>
      <w:szCs w:val="18"/>
    </w:rPr>
  </w:style>
  <w:style w:type="paragraph" w:styleId="Nadpisobsahu">
    <w:name w:val="Nadpis obsahu"/>
    <w:basedOn w:val="Heading1"/>
    <w:next w:val="Normal"/>
    <w:qFormat/>
    <w:pPr>
      <w:numPr>
        <w:ilvl w:val="0"/>
        <w:numId w:val="0"/>
      </w:numPr>
      <w:outlineLvl w:val="9"/>
    </w:pPr>
    <w:rPr/>
  </w:style>
  <w:style w:type="paragraph" w:styleId="InvoiceHeading">
    <w:name w:val="Invoice Heading"/>
    <w:basedOn w:val="Normal"/>
    <w:next w:val="Normal"/>
    <w:qFormat/>
    <w:pPr>
      <w:spacing w:lineRule="auto" w:line="240" w:before="80" w:after="60"/>
      <w:ind w:hanging="0" w:start="144" w:end="144"/>
    </w:pPr>
    <w:rPr>
      <w:rFonts w:ascii="Cambria" w:hAnsi="Cambria" w:eastAsia="MS Gothic;ＭＳ ゴシック" w:cs="Times New Roman"/>
      <w:color w:val="4F81BD"/>
      <w:sz w:val="20"/>
      <w:szCs w:val="20"/>
      <w:lang w:val="en-US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hyperlink" Target="mailto:info@jurenkaelektro.cz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2025-11-17T22:45:00Z</dcterms:created>
  <dc:creator>pavla</dc:creator>
  <dc:description/>
  <cp:keywords/>
  <dc:language>en-US</dc:language>
  <cp:lastModifiedBy>Roman Jurenka</cp:lastModifiedBy>
  <cp:lastPrinted>2022-04-01T09:54:00Z</cp:lastPrinted>
  <dcterms:modified xsi:type="dcterms:W3CDTF">2025-11-17T22:45:00Z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0x010100AA2A908E3F226243A5DD5D426221D37E</vt:lpwstr>
  </property>
  <property fmtid="{D5CDD505-2E9C-101B-9397-08002B2CF9AE}" pid="3" name="TaxCatchAll">
    <vt:lpwstr/>
  </property>
  <property fmtid="{D5CDD505-2E9C-101B-9397-08002B2CF9AE}" pid="4" name="lcf76f155ced4ddcb4097134ff3c332f">
    <vt:lpwstr/>
  </property>
</Properties>
</file>