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BBB / Workbench Consumer Integration</w:t>
      </w:r>
    </w:p>
    <w:p>
      <w:pPr>
        <w:jc w:val="center"/>
      </w:pPr>
      <w:r>
        <w:rPr>
          <w:i/>
        </w:rPr>
        <w:t>Зафиксированная исходная ситуация и решения для Consumer Read API v1</w:t>
      </w:r>
    </w:p>
    <w:p>
      <w:r>
        <w:t>Документ фиксирует фактическую роль BBB research_api, целевую интеграцию с market_data_service и решения, согласованные перед созданием OpenSpec consumer-read-api-v1.</w:t>
      </w:r>
    </w:p>
    <w:p>
      <w:pPr>
        <w:pStyle w:val="Heading1"/>
      </w:pPr>
      <w:r>
        <w:t>1. Текущий и целевой путь данных</w:t>
      </w:r>
    </w:p>
    <w:p>
      <w:pPr>
        <w:pStyle w:val="IntenseQuote"/>
      </w:pPr>
      <w:r>
        <w:t>Сейчас:</w:t>
      </w:r>
    </w:p>
    <w:p>
      <w:pPr>
        <w:pStyle w:val="IntenseQuote"/>
      </w:pPr>
      <w:r>
        <w:t>Workbench frontend → BBB research_api / BFF → BBB market reader → legacy SQLite</w:t>
      </w:r>
    </w:p>
    <w:p>
      <w:pPr>
        <w:pStyle w:val="IntenseQuote"/>
      </w:pPr>
      <w:r>
        <w:t>После интеграции:</w:t>
      </w:r>
    </w:p>
    <w:p>
      <w:pPr>
        <w:pStyle w:val="IntenseQuote"/>
      </w:pPr>
      <w:r>
        <w:t>Workbench frontend → BBB research_api / BFF → MarketDataServiceClient → market_data_service HTTP API → canonical SQLite</w:t>
      </w:r>
    </w:p>
    <w:p>
      <w:r>
        <w:t>Workbench frontend и его публичный candle endpoint не меняются. Меняется только реализация внутреннего market reader в BBB.</w:t>
      </w:r>
    </w:p>
    <w:p>
      <w:pPr>
        <w:pStyle w:val="Heading1"/>
      </w:pPr>
      <w:r>
        <w:t>2. Роль BBB research_api как BFF</w:t>
      </w:r>
    </w:p>
    <w:p>
      <w:pPr>
        <w:pStyle w:val="ListBullet"/>
      </w:pPr>
      <w:r>
        <w:t>сохраняет существующий /api/market/candles-window контракт;</w:t>
      </w:r>
    </w:p>
    <w:p>
      <w:pPr>
        <w:pStyle w:val="ListBullet"/>
      </w:pPr>
      <w:r>
        <w:t>формирует ChartBar и переводит candle time в секунды;</w:t>
      </w:r>
    </w:p>
    <w:p>
      <w:pPr>
        <w:pStyle w:val="ListBullet"/>
      </w:pPr>
      <w:r>
        <w:t>рассчитывает coverage в миллисекундах;</w:t>
      </w:r>
    </w:p>
    <w:p>
      <w:pPr>
        <w:pStyle w:val="ListBullet"/>
      </w:pPr>
      <w:r>
        <w:t>считает EMA и другие overlays;</w:t>
      </w:r>
    </w:p>
    <w:p>
      <w:pPr>
        <w:pStyle w:val="ListBullet"/>
      </w:pPr>
      <w:r>
        <w:t>объединяет candles с reports, traces, diagnostics и component events;</w:t>
      </w:r>
    </w:p>
    <w:p>
      <w:pPr>
        <w:pStyle w:val="ListBullet"/>
      </w:pPr>
      <w:r>
        <w:t>остаётся единственным backend endpoint для Workbench frontend.</w:t>
      </w:r>
    </w:p>
    <w:p>
      <w:pPr>
        <w:pStyle w:val="Heading1"/>
      </w:pPr>
      <w:r>
        <w:t>3. Граница ответственности market_data_service</w:t>
      </w:r>
    </w:p>
    <w:p>
      <w:pPr>
        <w:pStyle w:val="ListBullet"/>
      </w:pPr>
      <w:r>
        <w:t>canonical closed OHLCV;</w:t>
      </w:r>
    </w:p>
    <w:p>
      <w:pPr>
        <w:pStyle w:val="ListBullet"/>
      </w:pPr>
      <w:r>
        <w:t>historical continuity и realtime readiness;</w:t>
      </w:r>
    </w:p>
    <w:p>
      <w:pPr>
        <w:pStyle w:val="ListBullet"/>
      </w:pPr>
      <w:r>
        <w:t>canonical ticker/timeframe identity;</w:t>
      </w:r>
    </w:p>
    <w:p>
      <w:pPr>
        <w:pStyle w:val="ListBullet"/>
      </w:pPr>
      <w:r>
        <w:t>aligned half-open range reads;</w:t>
      </w:r>
    </w:p>
    <w:p>
      <w:pPr>
        <w:pStyle w:val="ListBullet"/>
      </w:pPr>
      <w:r>
        <w:t>exact Decimal persistence и Decimal-text transport;</w:t>
      </w:r>
    </w:p>
    <w:p>
      <w:pPr>
        <w:pStyle w:val="ListBullet"/>
      </w:pPr>
      <w:r>
        <w:t>явный отказ от чтения для stream, который не ready.</w:t>
      </w:r>
    </w:p>
    <w:p>
      <w:pPr>
        <w:pStyle w:val="Heading1"/>
      </w:pPr>
      <w:r>
        <w:t>4. Зафиксированный API v1</w:t>
      </w:r>
    </w:p>
    <w:p>
      <w:pPr>
        <w:pStyle w:val="IntenseQuote"/>
      </w:pPr>
      <w:r>
        <w:t>GET /v1/candles?ticker=BTCUSDT.P&amp;timeframe=5m&amp;from_ms=...&amp;to_ms=...</w:t>
      </w:r>
    </w:p>
    <w:p>
      <w:pPr>
        <w:pStyle w:val="ListBullet"/>
      </w:pPr>
      <w:r>
        <w:t>диапазон [from_ms, to_ms);</w:t>
      </w:r>
    </w:p>
    <w:p>
      <w:pPr>
        <w:pStyle w:val="ListBullet"/>
      </w:pPr>
      <w:r>
        <w:t>from_ms и to_ms выровнены по timeframe;</w:t>
      </w:r>
    </w:p>
    <w:p>
      <w:pPr>
        <w:pStyle w:val="ListBullet"/>
      </w:pPr>
      <w:r>
        <w:t>один JSON-ответ на весь диапазон;</w:t>
      </w:r>
    </w:p>
    <w:p>
      <w:pPr>
        <w:pStyle w:val="ListBullet"/>
      </w:pPr>
      <w:r>
        <w:t>без pagination, cursor, limit, chunking и streaming;</w:t>
      </w:r>
    </w:p>
    <w:p>
      <w:pPr>
        <w:pStyle w:val="ListBullet"/>
      </w:pPr>
      <w:r>
        <w:t>OHLCV возвращаются как normalized decimal strings;</w:t>
      </w:r>
    </w:p>
    <w:p>
      <w:pPr>
        <w:pStyle w:val="ListBullet"/>
      </w:pPr>
      <w:r>
        <w:t>200 разрешён только для configured stream со status=ready;</w:t>
      </w:r>
    </w:p>
    <w:p>
      <w:pPr>
        <w:pStyle w:val="ListBullet"/>
      </w:pPr>
      <w:r>
        <w:t>запрос должен целиком лежать внутри proven available window;</w:t>
      </w:r>
    </w:p>
    <w:p>
      <w:pPr>
        <w:pStyle w:val="ListBullet"/>
      </w:pPr>
      <w:r>
        <w:t>частичный или дырявый успешный ответ запрещён.</w:t>
      </w:r>
    </w:p>
    <w:p>
      <w:pPr>
        <w:pStyle w:val="Heading1"/>
      </w:pPr>
      <w:r>
        <w:t>5. Canonical ticker</w:t>
      </w:r>
    </w:p>
    <w:p>
      <w:r>
        <w:t>Новый API принимает canonical ticker напрямую: BTCUSDT.P, ETHUSDT.P и другие configured values. Legacy alias BTCUSDT → BTCUSDT.P в API v1 не вводится.</w:t>
      </w:r>
    </w:p>
    <w:p>
      <w:r>
        <w:t>Последующий BBB change должен точечно обновить market-data-facing identity и validation. Глобальный search/replace symbol → ticker запрещён: symbol может оставаться корректным термином в других торговых доменах BBB.</w:t>
      </w:r>
    </w:p>
    <w:p>
      <w:pPr>
        <w:pStyle w:val="Heading1"/>
      </w:pPr>
      <w:r>
        <w:t>6. Decimal transport</w:t>
      </w:r>
    </w:p>
    <w:p>
      <w:r>
        <w:t>market_data_service возвращает OHLCV как JSON text. BBB HTTP client парсит значения в Python Decimal на transport boundary.</w:t>
      </w:r>
    </w:p>
    <w:p>
      <w:pPr>
        <w:pStyle w:val="ListBullet"/>
      </w:pPr>
      <w:r>
        <w:t>Decimal сохраняется в BBB candle DTO там, где это практично;</w:t>
      </w:r>
    </w:p>
    <w:p>
      <w:pPr>
        <w:pStyle w:val="ListBullet"/>
      </w:pPr>
      <w:r>
        <w:t>переход в NumPy/pandas float64 выполняется только на явной research boundary;</w:t>
      </w:r>
    </w:p>
    <w:p>
      <w:pPr>
        <w:pStyle w:val="ListBullet"/>
      </w:pPr>
      <w:r>
        <w:t>переход в JSON number выполняется в существующей Workbench ChartBar boundary;</w:t>
      </w:r>
    </w:p>
    <w:p>
      <w:pPr>
        <w:pStyle w:val="ListBullet"/>
      </w:pPr>
      <w:r>
        <w:t>не требуется тотальный перевод всего BBB numeric stack на Decimal;</w:t>
      </w:r>
    </w:p>
    <w:p>
      <w:pPr>
        <w:pStyle w:val="ListBullet"/>
      </w:pPr>
      <w:r>
        <w:t>обязательны parity tests старого SQLite reader и нового HTTP reader.</w:t>
      </w:r>
    </w:p>
    <w:p>
      <w:pPr>
        <w:pStyle w:val="Heading1"/>
      </w:pPr>
      <w:r>
        <w:t>7. Ready-only и проверка диапазона</w:t>
      </w:r>
    </w:p>
    <w:p>
      <w:r>
        <w:t>Consumer API не выполняет audit или repair. Runtime reconciliation является единственным владельцем continuity и readiness.</w:t>
      </w:r>
    </w:p>
    <w:p>
      <w:pPr>
        <w:pStyle w:val="IntenseQuote"/>
      </w:pPr>
      <w:r>
        <w:t>Порядок обработки запроса:</w:t>
      </w:r>
    </w:p>
    <w:p>
      <w:r>
        <w:t>1. Resolve configured ticker/timeframe.</w:t>
      </w:r>
    </w:p>
    <w:p>
      <w:r>
        <w:t>2. Require stream.status == ready.</w:t>
      </w:r>
    </w:p>
    <w:p>
      <w:r>
        <w:t>3. Validate from_ms &lt; to_ms and timeframe alignment.</w:t>
      </w:r>
    </w:p>
    <w:p>
      <w:r>
        <w:t>4. Determine [available_from_ms, available_to_ms).</w:t>
      </w:r>
    </w:p>
    <w:p>
      <w:r>
        <w:t>5. Require requested range fully inside available window.</w:t>
      </w:r>
    </w:p>
    <w:p>
      <w:r>
        <w:t>6. Read SQLite range.</w:t>
      </w:r>
    </w:p>
    <w:p>
      <w:r>
        <w:t>7. Check order, uniqueness, grid completeness and stream identity.</w:t>
      </w:r>
    </w:p>
    <w:p>
      <w:r>
        <w:t>8. Return 200 only when all invariants hold.</w:t>
      </w:r>
    </w:p>
    <w:p>
      <w:r>
        <w:t>Stream с gap не может быть ready, поэтому обычный gap-case блокируется до чтения. Защитная проверка результата нужна только как invariant против нарушения ready-гарантии.</w:t>
      </w:r>
    </w:p>
    <w:p>
      <w:pPr>
        <w:pStyle w:val="Heading1"/>
      </w:pPr>
      <w:r>
        <w:t>8. Требуемые последующие изменения BBB</w:t>
      </w:r>
    </w:p>
    <w:p>
      <w:pPr>
        <w:pStyle w:val="ListBullet"/>
      </w:pPr>
      <w:r>
        <w:t>добавить persistent pooled MarketDataServiceClient;</w:t>
      </w:r>
    </w:p>
    <w:p>
      <w:pPr>
        <w:pStyle w:val="ListBullet"/>
      </w:pPr>
      <w:r>
        <w:t>заменить direct SQLite range_get за существующей market-reader abstraction;</w:t>
      </w:r>
    </w:p>
    <w:p>
      <w:pPr>
        <w:pStyle w:val="ListBullet"/>
      </w:pPr>
      <w:r>
        <w:t>перейти на canonical .P ticker в market-data-facing path;</w:t>
      </w:r>
    </w:p>
    <w:p>
      <w:pPr>
        <w:pStyle w:val="ListBullet"/>
      </w:pPr>
      <w:r>
        <w:t>парсить Decimal text в Decimal;</w:t>
      </w:r>
    </w:p>
    <w:p>
      <w:pPr>
        <w:pStyle w:val="ListBullet"/>
      </w:pPr>
      <w:r>
        <w:t>сохранить /api/market/candles-window и frontend response shape;</w:t>
      </w:r>
    </w:p>
    <w:p>
      <w:pPr>
        <w:pStyle w:val="ListBullet"/>
      </w:pPr>
      <w:r>
        <w:t>сохранить chart time в секундах и coverage в миллисекундах;</w:t>
      </w:r>
    </w:p>
    <w:p>
      <w:pPr>
        <w:pStyle w:val="ListBullet"/>
      </w:pPr>
      <w:r>
        <w:t>сохранить EMA, overlays, reports, traces и diagnostics в BBB;</w:t>
      </w:r>
    </w:p>
    <w:p>
      <w:pPr>
        <w:pStyle w:val="ListBullet"/>
      </w:pPr>
      <w:r>
        <w:t>добавить explicit mapping API/transport errors в BBB application errors;</w:t>
      </w:r>
    </w:p>
    <w:p>
      <w:pPr>
        <w:pStyle w:val="ListBullet"/>
      </w:pPr>
      <w:r>
        <w:t>добавить parity tests;</w:t>
      </w:r>
    </w:p>
    <w:p>
      <w:pPr>
        <w:pStyle w:val="ListBullet"/>
      </w:pPr>
      <w:r>
        <w:t>не подключать Workbench напрямую к market_data_service.</w:t>
      </w:r>
    </w:p>
    <w:p>
      <w:pPr>
        <w:pStyle w:val="Heading1"/>
      </w:pPr>
      <w:r>
        <w:t>9. Производительность v1</w:t>
      </w:r>
    </w:p>
    <w:p>
      <w:r>
        <w:t>Pagination и chunking сознательно не вводятся. Дополнительная задержка порядка секунды на большой backtest-range допустима. Реальные измерения выполняются для Workbench window, 10k, 100k и большого multi-year 5m range.</w:t>
      </w:r>
    </w:p>
    <w:p>
      <w:r>
        <w:t>Pagination, streaming, compact rows, compression, Arrow/Parquet и consumer cache рассматриваются только отдельным будущим change после измерений.</w:t>
      </w:r>
    </w:p>
    <w:p>
      <w:pPr>
        <w:pStyle w:val="Heading1"/>
      </w:pPr>
      <w:r>
        <w:t>10. Scope текущего market_data_service change</w:t>
      </w:r>
    </w:p>
    <w:p>
      <w:r>
        <w:t>Текущий OpenSpec реализует API и документацию только в market_data_service. Изменения BBB перечисляются как обязательные integration requirements, но выполняются отдельным согласованным OpenSpec в BBB repository.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