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BBB → Independent Indicator Engine and Strategy Engine</w:t>
      </w:r>
    </w:p>
    <w:p>
      <w:pPr>
        <w:jc w:val="center"/>
      </w:pPr>
      <w:r>
        <w:rPr>
          <w:i/>
        </w:rPr>
        <w:t>Текущая схема взаимодействия, план вырезания ответственности, границы швов и требования к API</w:t>
      </w:r>
    </w:p>
    <w:p>
      <w:pPr>
        <w:jc w:val="center"/>
      </w:pPr>
      <w:r>
        <w:rPr>
          <w:b/>
        </w:rPr>
        <w:t>Статус: архитектурная основа для последующего аудита, OpenSpec и миграции BBB</w:t>
      </w:r>
    </w:p>
    <w:p>
      <w:r>
        <w:t>Документ фиксирует целевой шов, по которому из BBB будут смыслово перенесены расчёт индикаторов и торговая семантика стратегии в новый независимый репозиторий. Цель — получить одну авторитетную реализацию Indicator Engine и Strategy Engine, которую смогут использовать BBB Research и будущий live runtime. Runtime wrapper концептуально зафиксирован, но его реализация находится за рамками первого этапа.</w:t>
      </w:r>
    </w:p>
    <w:p>
      <w:pPr>
        <w:pStyle w:val="Heading1"/>
      </w:pPr>
      <w:r>
        <w:t>1. Главный архитектурный принцип</w:t>
      </w:r>
    </w:p>
    <w:p>
      <w:r>
        <w:t>Новый модуль не должен быть механической копией папки research/strategies. Перенос выполняется по границе ответственности: всё, что определяет формулы индикаторов и торговую семантику стратегии, становится ответственностью нового engine; всё, что относится к исследовательской оркестрации, симуляции исполнения, отчётам и Workbench, остаётся в BBB.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Market Data Service</w:t>
        <w:br/>
        <w:t xml:space="preserve">        │</w:t>
        <w:br/>
        <w:t xml:space="preserve">        ▼</w:t>
        <w:br/>
        <w:t>Independent Indicator Engine</w:t>
        <w:br/>
        <w:t xml:space="preserve">        │ FeatureFrame / FeatureSnapshot</w:t>
        <w:br/>
        <w:t xml:space="preserve">        ▼</w:t>
        <w:br/>
        <w:t>Independent Strategy Engine</w:t>
        <w:br/>
        <w:t xml:space="preserve">        │ StrategyEvaluation / StrategyDecision</w:t>
        <w:br/>
        <w:t xml:space="preserve">        ├──────────────► BBB Research caller</w:t>
        <w:br/>
        <w:t xml:space="preserve">        └──────────────► Future Runtime wrapper ─► Abi Executor</w:t>
      </w:r>
    </w:p>
    <w:p>
      <w:r>
        <w:t>Indicator Engine и Strategy Engine имеют самостоятельные внутренние контракты и самостоятельные внешние API, но на первом этапе могут жить в одном репозитории и одном процессе. Strategy Engine вызывает Indicator Engine напрямую через Python-интерфейс, а не через собственный HTTP endpoint.</w:t>
      </w:r>
    </w:p>
    <w:p>
      <w:pPr>
        <w:pStyle w:val="Heading1"/>
      </w:pPr>
      <w:r>
        <w:t>2. Фактическая текущая схема BBB</w:t>
      </w:r>
    </w:p>
    <w:p>
      <w:r>
        <w:t>В текущем BBB исследовательский pipeline одновременно выполняет несколько разных обязанностей. Упрощённая последовательность выглядит так: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Experiment / batch runner</w:t>
        <w:br/>
        <w:t xml:space="preserve">  → загрузка strategy config</w:t>
        <w:br/>
        <w:t xml:space="preserve">  → построение StrategySpec</w:t>
        <w:br/>
        <w:t xml:space="preserve">  → построение FeaturePlan</w:t>
        <w:br/>
        <w:t xml:space="preserve">  → загрузка OHLCV</w:t>
        <w:br/>
        <w:t xml:space="preserve">  → расчёт EMA / RSI / ATR / ADX-DI / HTF features</w:t>
        <w:br/>
        <w:t xml:space="preserve">  → построение strategy contexts</w:t>
        <w:br/>
        <w:t xml:space="preserve">  → direction / blockers / setups / triggers</w:t>
        <w:br/>
        <w:t xml:space="preserve">  → entry decisions</w:t>
        <w:br/>
        <w:t xml:space="preserve">  → exit-policy and managed-exit semantics</w:t>
        <w:br/>
        <w:t xml:space="preserve">  → execution simulation / vectorized or managed loop</w:t>
        <w:br/>
        <w:t xml:space="preserve">  → fills / fees / trades / PnL</w:t>
        <w:br/>
        <w:t xml:space="preserve">  → attribution / diagnostics / trace / report</w:t>
        <w:br/>
        <w:t xml:space="preserve">  → Workbench BFF / frontend</w:t>
      </w:r>
    </w:p>
    <w:p>
      <w:pPr>
        <w:pStyle w:val="Heading2"/>
      </w:pPr>
      <w:r>
        <w:t>2.1 Кто сегодня вызывает стратегию</w:t>
      </w:r>
    </w:p>
    <w:p>
      <w:r>
        <w:t>Стратегию вызывает исследовательский orchestration layer BBB: experiment runner либо одиночный strategy run. Он выбирает config, symbol/ticker, base timeframe, временной диапазон и запускает полный research pipeline. Стратегия сегодня не является самостоятельным сервисом и не имеет отдельной process boundary.</w:t>
      </w:r>
    </w:p>
    <w:p>
      <w:pPr>
        <w:pStyle w:val="Heading2"/>
      </w:pPr>
      <w:r>
        <w:t>2.2 Что сегодня подаётся на вход</w:t>
      </w:r>
    </w:p>
    <w:p>
      <w:pPr>
        <w:pStyle w:val="ListBullet"/>
      </w:pPr>
      <w:r>
        <w:t>Strategy config / StrategySpec, включая components, contexts, sides, trade management и exit management.</w:t>
      </w:r>
    </w:p>
    <w:p>
      <w:pPr>
        <w:pStyle w:val="ListBullet"/>
      </w:pPr>
      <w:r>
        <w:t>OHLCV history базового timeframe.</w:t>
      </w:r>
    </w:p>
    <w:p>
      <w:pPr>
        <w:pStyle w:val="ListBullet"/>
      </w:pPr>
      <w:r>
        <w:t>Дополнительные timeframe-ряды либо данные, необходимые для HTF enrichment.</w:t>
      </w:r>
    </w:p>
    <w:p>
      <w:pPr>
        <w:pStyle w:val="ListBullet"/>
      </w:pPr>
      <w:r>
        <w:t>Исследовательские параметры исполнения: fees, position sizing, fill assumptions и диапазон эксперимента.</w:t>
      </w:r>
    </w:p>
    <w:p>
      <w:pPr>
        <w:pStyle w:val="ListBullet"/>
      </w:pPr>
      <w:r>
        <w:t>В managed-exit path — состояние логической сделки и текущие stop/take candidates.</w:t>
      </w:r>
    </w:p>
    <w:p>
      <w:pPr>
        <w:pStyle w:val="Heading2"/>
      </w:pPr>
      <w:r>
        <w:t>2.3 Что сегодня выходит</w:t>
      </w:r>
    </w:p>
    <w:p>
      <w:pPr>
        <w:pStyle w:val="ListBullet"/>
      </w:pPr>
      <w:r>
        <w:t>Feature columns и indicator series.</w:t>
      </w:r>
    </w:p>
    <w:p>
      <w:pPr>
        <w:pStyle w:val="ListBullet"/>
      </w:pPr>
      <w:r>
        <w:t>Context states и component states.</w:t>
      </w:r>
    </w:p>
    <w:p>
      <w:pPr>
        <w:pStyle w:val="ListBullet"/>
      </w:pPr>
      <w:r>
        <w:t>Long/short entry decisions.</w:t>
      </w:r>
    </w:p>
    <w:p>
      <w:pPr>
        <w:pStyle w:val="ListBullet"/>
      </w:pPr>
      <w:r>
        <w:t>Initial stop/take и signal-exit outputs.</w:t>
      </w:r>
    </w:p>
    <w:p>
      <w:pPr>
        <w:pStyle w:val="ListBullet"/>
      </w:pPr>
      <w:r>
        <w:t>Managed stop/take/runtime-exit decisions.</w:t>
      </w:r>
    </w:p>
    <w:p>
      <w:pPr>
        <w:pStyle w:val="ListBullet"/>
      </w:pPr>
      <w:r>
        <w:t>Simulated fills, trades, PnL и metrics.</w:t>
      </w:r>
    </w:p>
    <w:p>
      <w:pPr>
        <w:pStyle w:val="ListBullet"/>
      </w:pPr>
      <w:r>
        <w:t>Diagnostics, component evidence, trace, attribution и report artifacts.</w:t>
      </w:r>
    </w:p>
    <w:p>
      <w:r>
        <w:t>Проблема текущей формы: стратегическая семантика и исследовательская инфраструктура вызываются одним верхнеуровневым pipeline. Если скопировать этот pipeline целиком, новый engine утащит внутрь себя симуляцию, отчёты и Workbench. Если перенести только отдельные функции без общего контракта, появятся две расходящиеся реализации.</w:t>
      </w:r>
    </w:p>
    <w:p>
      <w:pPr>
        <w:pStyle w:val="Heading1"/>
      </w:pPr>
      <w:r>
        <w:t>3. Целевая граница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</w:tcPr>
          <w:p>
            <w:r>
              <w:rPr>
                <w:b/>
              </w:rPr>
              <w:t>Ответственность</w:t>
            </w:r>
          </w:p>
        </w:tc>
        <w:tc>
          <w:tcPr>
            <w:tcW w:type="dxa" w:w="3360"/>
          </w:tcPr>
          <w:p>
            <w:r>
              <w:rPr>
                <w:b/>
              </w:rPr>
              <w:t>Новый engine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Остаётся в BBB / caller</w:t>
            </w:r>
          </w:p>
        </w:tc>
      </w:tr>
      <w:tr>
        <w:tc>
          <w:tcPr>
            <w:tcW w:type="dxa" w:w="3360"/>
            <w:vAlign w:val="top"/>
          </w:tcPr>
          <w:p>
            <w:r>
              <w:t>Canonical OHLCV</w:t>
            </w:r>
          </w:p>
        </w:tc>
        <w:tc>
          <w:tcPr>
            <w:tcW w:type="dxa" w:w="3360"/>
            <w:vAlign w:val="top"/>
          </w:tcPr>
          <w:p>
            <w:r>
              <w:t>Потребляет через Market Data client или внутренний MarketFrame</w:t>
            </w:r>
          </w:p>
        </w:tc>
        <w:tc>
          <w:tcPr>
            <w:tcW w:type="dxa" w:w="3360"/>
            <w:vAlign w:val="top"/>
          </w:tcPr>
          <w:p>
            <w:r>
              <w:t>Не хранит собственную вторую market truth</w:t>
            </w:r>
          </w:p>
        </w:tc>
      </w:tr>
      <w:tr>
        <w:tc>
          <w:tcPr>
            <w:tcW w:type="dxa" w:w="3360"/>
            <w:vAlign w:val="top"/>
          </w:tcPr>
          <w:p>
            <w:r>
              <w:t>Feature plan</w:t>
            </w:r>
          </w:p>
        </w:tc>
        <w:tc>
          <w:tcPr>
            <w:tcW w:type="dxa" w:w="3360"/>
            <w:vAlign w:val="top"/>
          </w:tcPr>
          <w:p>
            <w:r>
              <w:t>Да</w:t>
            </w:r>
          </w:p>
        </w:tc>
        <w:tc>
          <w:tcPr>
            <w:tcW w:type="dxa" w:w="3360"/>
            <w:vAlign w:val="top"/>
          </w:tcPr>
          <w:p>
            <w:r>
              <w:t>BBB только передаёт strategy config или отдельный indicator plan</w:t>
            </w:r>
          </w:p>
        </w:tc>
      </w:tr>
      <w:tr>
        <w:tc>
          <w:tcPr>
            <w:tcW w:type="dxa" w:w="3360"/>
            <w:vAlign w:val="top"/>
          </w:tcPr>
          <w:p>
            <w:r>
              <w:t>EMA/RSI/ATR/ADX-DI/HTF</w:t>
            </w:r>
          </w:p>
        </w:tc>
        <w:tc>
          <w:tcPr>
            <w:tcW w:type="dxa" w:w="3360"/>
            <w:vAlign w:val="top"/>
          </w:tcPr>
          <w:p>
            <w:r>
              <w:t>Да, Indicator Engine</w:t>
            </w:r>
          </w:p>
        </w:tc>
        <w:tc>
          <w:tcPr>
            <w:tcW w:type="dxa" w:w="3360"/>
            <w:vAlign w:val="top"/>
          </w:tcPr>
          <w:p>
            <w:r>
              <w:t>Нет расчёта после cutover</w:t>
            </w:r>
          </w:p>
        </w:tc>
      </w:tr>
      <w:tr>
        <w:tc>
          <w:tcPr>
            <w:tcW w:type="dxa" w:w="3360"/>
            <w:vAlign w:val="top"/>
          </w:tcPr>
          <w:p>
            <w:r>
              <w:t>Contexts</w:t>
            </w:r>
          </w:p>
        </w:tc>
        <w:tc>
          <w:tcPr>
            <w:tcW w:type="dxa" w:w="3360"/>
            <w:vAlign w:val="top"/>
          </w:tcPr>
          <w:p>
            <w:r>
              <w:t>Да</w:t>
            </w:r>
          </w:p>
        </w:tc>
        <w:tc>
          <w:tcPr>
            <w:tcW w:type="dxa" w:w="3360"/>
            <w:vAlign w:val="top"/>
          </w:tcPr>
          <w:p>
            <w:r>
              <w:t>BBB получает готовые context outputs/evidence</w:t>
            </w:r>
          </w:p>
        </w:tc>
      </w:tr>
      <w:tr>
        <w:tc>
          <w:tcPr>
            <w:tcW w:type="dxa" w:w="3360"/>
            <w:vAlign w:val="top"/>
          </w:tcPr>
          <w:p>
            <w:r>
              <w:t>Direction/blockers/setups/triggers</w:t>
            </w:r>
          </w:p>
        </w:tc>
        <w:tc>
          <w:tcPr>
            <w:tcW w:type="dxa" w:w="3360"/>
            <w:vAlign w:val="top"/>
          </w:tcPr>
          <w:p>
            <w:r>
              <w:t>Да, Strategy Engine</w:t>
            </w:r>
          </w:p>
        </w:tc>
        <w:tc>
          <w:tcPr>
            <w:tcW w:type="dxa" w:w="3360"/>
            <w:vAlign w:val="top"/>
          </w:tcPr>
          <w:p>
            <w:r>
              <w:t>Нет второй реализации</w:t>
            </w:r>
          </w:p>
        </w:tc>
      </w:tr>
      <w:tr>
        <w:tc>
          <w:tcPr>
            <w:tcW w:type="dxa" w:w="3360"/>
            <w:vAlign w:val="top"/>
          </w:tcPr>
          <w:p>
            <w:r>
              <w:t>Entry/exit/managed policy</w:t>
            </w:r>
          </w:p>
        </w:tc>
        <w:tc>
          <w:tcPr>
            <w:tcW w:type="dxa" w:w="3360"/>
            <w:vAlign w:val="top"/>
          </w:tcPr>
          <w:p>
            <w:r>
              <w:t>Да</w:t>
            </w:r>
          </w:p>
        </w:tc>
        <w:tc>
          <w:tcPr>
            <w:tcW w:type="dxa" w:w="3360"/>
            <w:vAlign w:val="top"/>
          </w:tcPr>
          <w:p>
            <w:r>
              <w:t>Caller только симулирует или исполняет решения</w:t>
            </w:r>
          </w:p>
        </w:tc>
      </w:tr>
      <w:tr>
        <w:tc>
          <w:tcPr>
            <w:tcW w:type="dxa" w:w="3360"/>
            <w:vAlign w:val="top"/>
          </w:tcPr>
          <w:p>
            <w:r>
              <w:t>Fill semantics</w:t>
            </w:r>
          </w:p>
        </w:tc>
        <w:tc>
          <w:tcPr>
            <w:tcW w:type="dxa" w:w="3360"/>
            <w:vAlign w:val="top"/>
          </w:tcPr>
          <w:p>
            <w:r>
              <w:t>Нет</w:t>
            </w:r>
          </w:p>
        </w:tc>
        <w:tc>
          <w:tcPr>
            <w:tcW w:type="dxa" w:w="3360"/>
            <w:vAlign w:val="top"/>
          </w:tcPr>
          <w:p>
            <w:r>
              <w:t>BBB simulator / Abi</w:t>
            </w:r>
          </w:p>
        </w:tc>
      </w:tr>
      <w:tr>
        <w:tc>
          <w:tcPr>
            <w:tcW w:type="dxa" w:w="3360"/>
            <w:vAlign w:val="top"/>
          </w:tcPr>
          <w:p>
            <w:r>
              <w:t>Fees/slippage</w:t>
            </w:r>
          </w:p>
        </w:tc>
        <w:tc>
          <w:tcPr>
            <w:tcW w:type="dxa" w:w="3360"/>
            <w:vAlign w:val="top"/>
          </w:tcPr>
          <w:p>
            <w:r>
              <w:t>Нет</w:t>
            </w:r>
          </w:p>
        </w:tc>
        <w:tc>
          <w:tcPr>
            <w:tcW w:type="dxa" w:w="3360"/>
            <w:vAlign w:val="top"/>
          </w:tcPr>
          <w:p>
            <w:r>
              <w:t>BBB simulator / exchange execution</w:t>
            </w:r>
          </w:p>
        </w:tc>
      </w:tr>
      <w:tr>
        <w:tc>
          <w:tcPr>
            <w:tcW w:type="dxa" w:w="3360"/>
            <w:vAlign w:val="top"/>
          </w:tcPr>
          <w:p>
            <w:r>
              <w:t>Trades/PnL/equity</w:t>
            </w:r>
          </w:p>
        </w:tc>
        <w:tc>
          <w:tcPr>
            <w:tcW w:type="dxa" w:w="3360"/>
            <w:vAlign w:val="top"/>
          </w:tcPr>
          <w:p>
            <w:r>
              <w:t>Нет</w:t>
            </w:r>
          </w:p>
        </w:tc>
        <w:tc>
          <w:tcPr>
            <w:tcW w:type="dxa" w:w="3360"/>
            <w:vAlign w:val="top"/>
          </w:tcPr>
          <w:p>
            <w:r>
              <w:t>BBB Research</w:t>
            </w:r>
          </w:p>
        </w:tc>
      </w:tr>
      <w:tr>
        <w:tc>
          <w:tcPr>
            <w:tcW w:type="dxa" w:w="3360"/>
            <w:vAlign w:val="top"/>
          </w:tcPr>
          <w:p>
            <w:r>
              <w:t>Diagnostics evidence</w:t>
            </w:r>
          </w:p>
        </w:tc>
        <w:tc>
          <w:tcPr>
            <w:tcW w:type="dxa" w:w="3360"/>
            <w:vAlign w:val="top"/>
          </w:tcPr>
          <w:p>
            <w:r>
              <w:t>Стратегическая evidence на уровне компонентов</w:t>
            </w:r>
          </w:p>
        </w:tc>
        <w:tc>
          <w:tcPr>
            <w:tcW w:type="dxa" w:w="3360"/>
            <w:vAlign w:val="top"/>
          </w:tcPr>
          <w:p>
            <w:r>
              <w:t>BBB собирает report/trace/Workbench DTO</w:t>
            </w:r>
          </w:p>
        </w:tc>
      </w:tr>
      <w:tr>
        <w:tc>
          <w:tcPr>
            <w:tcW w:type="dxa" w:w="3360"/>
            <w:vAlign w:val="top"/>
          </w:tcPr>
          <w:p>
            <w:r>
              <w:t>Workbench presentation</w:t>
            </w:r>
          </w:p>
        </w:tc>
        <w:tc>
          <w:tcPr>
            <w:tcW w:type="dxa" w:w="3360"/>
            <w:vAlign w:val="top"/>
          </w:tcPr>
          <w:p>
            <w:r>
              <w:t>Нет</w:t>
            </w:r>
          </w:p>
        </w:tc>
        <w:tc>
          <w:tcPr>
            <w:tcW w:type="dxa" w:w="3360"/>
            <w:vAlign w:val="top"/>
          </w:tcPr>
          <w:p>
            <w:r>
              <w:t>BBB research_api / BFF</w:t>
            </w:r>
          </w:p>
        </w:tc>
      </w:tr>
      <w:tr>
        <w:tc>
          <w:tcPr>
            <w:tcW w:type="dxa" w:w="3360"/>
            <w:vAlign w:val="top"/>
          </w:tcPr>
          <w:p>
            <w:r>
              <w:t>Live subscription/replay/idempotency</w:t>
            </w:r>
          </w:p>
        </w:tc>
        <w:tc>
          <w:tcPr>
            <w:tcW w:type="dxa" w:w="3360"/>
            <w:vAlign w:val="top"/>
          </w:tcPr>
          <w:p>
            <w:r>
              <w:t>Нет, пока</w:t>
            </w:r>
          </w:p>
        </w:tc>
        <w:tc>
          <w:tcPr>
            <w:tcW w:type="dxa" w:w="3360"/>
            <w:vAlign w:val="top"/>
          </w:tcPr>
          <w:p>
            <w:r>
              <w:t>Будущий Runtime wrapper</w:t>
            </w:r>
          </w:p>
        </w:tc>
      </w:tr>
    </w:tbl>
    <w:p>
      <w:pPr>
        <w:pStyle w:val="Heading1"/>
      </w:pPr>
      <w:r>
        <w:t>4. Главный шов вызова Strategy Engine</w:t>
      </w:r>
    </w:p>
    <w:p>
      <w:r>
        <w:t>Strategy Engine отвечает только на вопрос: какое торговое решение требует стратегия на данной market boundary при заданном strategy state и execution/position state?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Caller</w:t>
        <w:br/>
        <w:t xml:space="preserve">  → StrategyEvaluationRequest</w:t>
        <w:br/>
        <w:t xml:space="preserve">      - strategy identity and config</w:t>
        <w:br/>
        <w:t xml:space="preserve">      - market boundary / range</w:t>
        <w:br/>
        <w:t xml:space="preserve">      - FeatureFrame or indicator request</w:t>
        <w:br/>
        <w:t xml:space="preserve">      - StrategyState</w:t>
        <w:br/>
        <w:t xml:space="preserve">      - PositionState / execution facts</w:t>
        <w:br/>
        <w:t xml:space="preserve">  → Strategy Engine</w:t>
        <w:br/>
        <w:t xml:space="preserve">  ← StrategyEvaluationResult</w:t>
        <w:br/>
        <w:t xml:space="preserve">      - entry decisions</w:t>
        <w:br/>
        <w:t xml:space="preserve">      - exit / protection decisions</w:t>
        <w:br/>
        <w:t xml:space="preserve">      - component evidence</w:t>
        <w:br/>
        <w:t xml:space="preserve">      - next strategy state</w:t>
        <w:br/>
        <w:t xml:space="preserve">  → Caller simulates or executes</w:t>
        <w:br/>
        <w:t xml:space="preserve">  → caller owns fills, fees, PnL and external position state</w:t>
      </w:r>
    </w:p>
    <w:p>
      <w:pPr>
        <w:pStyle w:val="Heading2"/>
      </w:pPr>
      <w:r>
        <w:t>4.1 Кто вызывает Strategy Engine</w:t>
      </w:r>
    </w:p>
    <w:p>
      <w:pPr>
        <w:pStyle w:val="ListBullet"/>
      </w:pPr>
      <w:r>
        <w:rPr>
          <w:b/>
        </w:rPr>
        <w:t xml:space="preserve">BBB Research caller: </w:t>
      </w:r>
      <w:r>
        <w:t>Вызывает range evaluation для истории, передаёт strategy spec и исследуемый диапазон. Результат передаёт прежнему execution simulator.</w:t>
      </w:r>
    </w:p>
    <w:p>
      <w:pPr>
        <w:pStyle w:val="ListBullet"/>
      </w:pPr>
      <w:r>
        <w:rPr>
          <w:b/>
        </w:rPr>
        <w:t xml:space="preserve">Future Runtime wrapper: </w:t>
      </w:r>
      <w:r>
        <w:t>Вызывает bar evaluation после каждой новой confirmed candle, владеет replay/restart/idempotency и отправкой в Abi.</w:t>
      </w:r>
    </w:p>
    <w:p>
      <w:pPr>
        <w:pStyle w:val="ListBullet"/>
      </w:pPr>
      <w:r>
        <w:rPr>
          <w:b/>
        </w:rPr>
        <w:t xml:space="preserve">Parity harness: </w:t>
      </w:r>
      <w:r>
        <w:t>Проигрывает одинаковые fixtures через legacy BBB и новый engine и сравнивает результаты по каждому bar.</w:t>
      </w:r>
    </w:p>
    <w:p>
      <w:pPr>
        <w:pStyle w:val="Heading2"/>
      </w:pPr>
      <w:r>
        <w:t>4.2 Вход Strategy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3360"/>
          </w:tcPr>
          <w:p>
            <w:r>
              <w:rPr>
                <w:b/>
              </w:rPr>
              <w:t>Обязательные данные</w:t>
            </w:r>
          </w:p>
        </w:tc>
        <w:tc>
          <w:tcPr>
            <w:tcW w:type="dxa" w:w="336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360"/>
          </w:tcPr>
          <w:p>
            <w:r>
              <w:t>Identity</w:t>
            </w:r>
          </w:p>
        </w:tc>
        <w:tc>
          <w:tcPr>
            <w:tcW w:type="dxa" w:w="3360"/>
          </w:tcPr>
          <w:p>
            <w:r>
              <w:t>strategy_id, strategy_version, config_hash, ticker, base_timeframe</w:t>
            </w:r>
          </w:p>
        </w:tc>
        <w:tc>
          <w:tcPr>
            <w:tcW w:type="dxa" w:w="3360"/>
          </w:tcPr>
          <w:p>
            <w:r>
              <w:t>Детерминирует реализацию и воспроизводимость.</w:t>
            </w:r>
          </w:p>
        </w:tc>
      </w:tr>
      <w:tr>
        <w:tc>
          <w:tcPr>
            <w:tcW w:type="dxa" w:w="3360"/>
          </w:tcPr>
          <w:p>
            <w:r>
              <w:t>Config</w:t>
            </w:r>
          </w:p>
        </w:tc>
        <w:tc>
          <w:tcPr>
            <w:tcW w:type="dxa" w:w="3360"/>
          </w:tcPr>
          <w:p>
            <w:r>
              <w:t>Полный validated strategy spec</w:t>
            </w:r>
          </w:p>
        </w:tc>
        <w:tc>
          <w:tcPr>
            <w:tcW w:type="dxa" w:w="3360"/>
          </w:tcPr>
          <w:p>
            <w:r>
              <w:t>Авторитетная validation должна находиться в новом engine.</w:t>
            </w:r>
          </w:p>
        </w:tc>
      </w:tr>
      <w:tr>
        <w:tc>
          <w:tcPr>
            <w:tcW w:type="dxa" w:w="3360"/>
          </w:tcPr>
          <w:p>
            <w:r>
              <w:t>Boundary</w:t>
            </w:r>
          </w:p>
        </w:tc>
        <w:tc>
          <w:tcPr>
            <w:tcW w:type="dxa" w:w="3360"/>
          </w:tcPr>
          <w:p>
            <w:r>
              <w:t>range [from_ms,to_ms) или single closed bar boundary</w:t>
            </w:r>
          </w:p>
        </w:tc>
        <w:tc>
          <w:tcPr>
            <w:tcW w:type="dxa" w:w="3360"/>
          </w:tcPr>
          <w:p>
            <w:r>
              <w:t>Batch сейчас; bar-to-bar позже.</w:t>
            </w:r>
          </w:p>
        </w:tc>
      </w:tr>
      <w:tr>
        <w:tc>
          <w:tcPr>
            <w:tcW w:type="dxa" w:w="3360"/>
          </w:tcPr>
          <w:p>
            <w:r>
              <w:t>Features</w:t>
            </w:r>
          </w:p>
        </w:tc>
        <w:tc>
          <w:tcPr>
            <w:tcW w:type="dxa" w:w="3360"/>
          </w:tcPr>
          <w:p>
            <w:r>
              <w:t>FeatureFrame / FeatureSnapshot</w:t>
            </w:r>
          </w:p>
        </w:tc>
        <w:tc>
          <w:tcPr>
            <w:tcW w:type="dxa" w:w="3360"/>
          </w:tcPr>
          <w:p>
            <w:r>
              <w:t>Внешний facade обычно получает их из Indicator Engine.</w:t>
            </w:r>
          </w:p>
        </w:tc>
      </w:tr>
      <w:tr>
        <w:tc>
          <w:tcPr>
            <w:tcW w:type="dxa" w:w="3360"/>
          </w:tcPr>
          <w:p>
            <w:r>
              <w:t>Strategy state</w:t>
            </w:r>
          </w:p>
        </w:tc>
        <w:tc>
          <w:tcPr>
            <w:tcW w:type="dxa" w:w="3360"/>
          </w:tcPr>
          <w:p>
            <w:r>
              <w:t>episodic/setup/component state</w:t>
            </w:r>
          </w:p>
        </w:tc>
        <w:tc>
          <w:tcPr>
            <w:tcW w:type="dxa" w:w="3360"/>
          </w:tcPr>
          <w:p>
            <w:r>
              <w:t>Для batch может быть initial empty state; для runtime — checkpoint.</w:t>
            </w:r>
          </w:p>
        </w:tc>
      </w:tr>
      <w:tr>
        <w:tc>
          <w:tcPr>
            <w:tcW w:type="dxa" w:w="3360"/>
          </w:tcPr>
          <w:p>
            <w:r>
              <w:t>Position state</w:t>
            </w:r>
          </w:p>
        </w:tc>
        <w:tc>
          <w:tcPr>
            <w:tcW w:type="dxa" w:w="3360"/>
          </w:tcPr>
          <w:p>
            <w:r>
              <w:t>flat/open, side, entry time/price, quantity, phase, active protection</w:t>
            </w:r>
          </w:p>
        </w:tc>
        <w:tc>
          <w:tcPr>
            <w:tcW w:type="dxa" w:w="3360"/>
          </w:tcPr>
          <w:p>
            <w:r>
              <w:t>Caller владеет фактом позиции; engine владеет policy.</w:t>
            </w:r>
          </w:p>
        </w:tc>
      </w:tr>
      <w:tr>
        <w:tc>
          <w:tcPr>
            <w:tcW w:type="dxa" w:w="3360"/>
          </w:tcPr>
          <w:p>
            <w:r>
              <w:t>Evaluation profile</w:t>
            </w:r>
          </w:p>
        </w:tc>
        <w:tc>
          <w:tcPr>
            <w:tcW w:type="dxa" w:w="3360"/>
          </w:tcPr>
          <w:p>
            <w:r>
              <w:t>research/runtime/diagnostic flags</w:t>
            </w:r>
          </w:p>
        </w:tc>
        <w:tc>
          <w:tcPr>
            <w:tcW w:type="dxa" w:w="3360"/>
          </w:tcPr>
          <w:p>
            <w:r>
              <w:t>Не должен менять торговую семантику; только состав evidence/output.</w:t>
            </w:r>
          </w:p>
        </w:tc>
      </w:tr>
    </w:tbl>
    <w:p>
      <w:pPr>
        <w:pStyle w:val="Heading2"/>
      </w:pPr>
      <w:r>
        <w:t>4.3 Выход Strategy Engine</w:t>
      </w:r>
    </w:p>
    <w:p>
      <w:pPr>
        <w:pStyle w:val="ListBullet"/>
      </w:pPr>
      <w:r>
        <w:t>Strategy identity: strategy_id, version, config_hash, ticker и timeframe.</w:t>
      </w:r>
    </w:p>
    <w:p>
      <w:pPr>
        <w:pStyle w:val="ListBullet"/>
      </w:pPr>
      <w:r>
        <w:t>Entry decisions: long/short/no-entry, source bar identity, component attribution.</w:t>
      </w:r>
    </w:p>
    <w:p>
      <w:pPr>
        <w:pStyle w:val="ListBullet"/>
      </w:pPr>
      <w:r>
        <w:t>Exit decisions: signal exit, runtime exit request либо no-action.</w:t>
      </w:r>
    </w:p>
    <w:p>
      <w:pPr>
        <w:pStyle w:val="ListBullet"/>
      </w:pPr>
      <w:r>
        <w:t>Protection decisions: initial stop/take и managed stop/take updates.</w:t>
      </w:r>
    </w:p>
    <w:p>
      <w:pPr>
        <w:pStyle w:val="ListBullet"/>
      </w:pPr>
      <w:r>
        <w:t>Component evidence: direction, blockers, setups, triggers, contexts и причины решений.</w:t>
      </w:r>
    </w:p>
    <w:p>
      <w:pPr>
        <w:pStyle w:val="ListBullet"/>
      </w:pPr>
      <w:r>
        <w:t>NextStrategyState: состояние, необходимое для следующего bar-to-bar вызова.</w:t>
      </w:r>
    </w:p>
    <w:p>
      <w:pPr>
        <w:pStyle w:val="ListBullet"/>
      </w:pPr>
      <w:r>
        <w:t>Warmup/validity status: можно ли считать решение торгово валидным.</w:t>
      </w:r>
    </w:p>
    <w:p>
      <w:pPr>
        <w:pStyle w:val="Heading2"/>
      </w:pPr>
      <w:r>
        <w:t>4.4 Что Strategy Engine не возвращает</w:t>
      </w:r>
    </w:p>
    <w:p>
      <w:pPr>
        <w:pStyle w:val="ListBullet"/>
      </w:pPr>
      <w:r>
        <w:t>Фактический fill price.</w:t>
      </w:r>
    </w:p>
    <w:p>
      <w:pPr>
        <w:pStyle w:val="ListBullet"/>
      </w:pPr>
      <w:r>
        <w:t>Статус биржевой заявки.</w:t>
      </w:r>
    </w:p>
    <w:p>
      <w:pPr>
        <w:pStyle w:val="ListBullet"/>
      </w:pPr>
      <w:r>
        <w:t>Комиссию и slippage.</w:t>
      </w:r>
    </w:p>
    <w:p>
      <w:pPr>
        <w:pStyle w:val="ListBullet"/>
      </w:pPr>
      <w:r>
        <w:t>Фактический exchange position snapshot.</w:t>
      </w:r>
    </w:p>
    <w:p>
      <w:pPr>
        <w:pStyle w:val="ListBullet"/>
      </w:pPr>
      <w:r>
        <w:t>Готовую research trade record.</w:t>
      </w:r>
    </w:p>
    <w:p>
      <w:pPr>
        <w:pStyle w:val="ListBullet"/>
      </w:pPr>
      <w:r>
        <w:t>PnL, equity curve и portfolio metrics.</w:t>
      </w:r>
    </w:p>
    <w:p>
      <w:pPr>
        <w:pStyle w:val="ListBullet"/>
      </w:pPr>
      <w:r>
        <w:t>Workbench ChartBar или frontend DTO.</w:t>
      </w:r>
    </w:p>
    <w:p>
      <w:pPr>
        <w:pStyle w:val="Heading1"/>
      </w:pPr>
      <w:r>
        <w:t>5. Шов Indicator Engine</w:t>
      </w:r>
    </w:p>
    <w:p>
      <w:r>
        <w:t>Indicator Engine является самостоятельным модулем и имеет собственный API, потому что его прямыми потребителями являются Strategy Engine, BBB Research и Workbench через BBB BFF.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Canonical MarketFrame + FeaturePlan</w:t>
        <w:br/>
        <w:t xml:space="preserve">          │</w:t>
        <w:br/>
        <w:t xml:space="preserve">          ▼</w:t>
        <w:br/>
        <w:t xml:space="preserve">     Indicator Engine</w:t>
        <w:br/>
        <w:t xml:space="preserve">          │</w:t>
        <w:br/>
        <w:t xml:space="preserve">          ▼</w:t>
        <w:br/>
        <w:t>FeatureFrame / FeatureSnapshot</w:t>
        <w:br/>
        <w:t>- aligned time axis</w:t>
        <w:br/>
        <w:t>- named series</w:t>
        <w:br/>
        <w:t>- warmup validity</w:t>
        <w:br/>
        <w:t>- feature metadata</w:t>
      </w:r>
    </w:p>
    <w:p>
      <w:pPr>
        <w:pStyle w:val="Heading2"/>
      </w:pPr>
      <w:r>
        <w:t>5.1 Вход Indicator Engine</w:t>
      </w:r>
    </w:p>
    <w:p>
      <w:pPr>
        <w:pStyle w:val="ListBullet"/>
      </w:pPr>
      <w:r>
        <w:t>Canonical ticker и base timeframe.</w:t>
      </w:r>
    </w:p>
    <w:p>
      <w:pPr>
        <w:pStyle w:val="ListBullet"/>
      </w:pPr>
      <w:r>
        <w:t>Aligned OHLCV MarketFrame либо диапазон для самостоятельного чтения из Market Data Service.</w:t>
      </w:r>
    </w:p>
    <w:p>
      <w:pPr>
        <w:pStyle w:val="ListBullet"/>
      </w:pPr>
      <w:r>
        <w:t>Declarative FeaturePlan с feature_id, output_id, timeframe, source и parameters.</w:t>
      </w:r>
    </w:p>
    <w:p>
      <w:pPr>
        <w:pStyle w:val="ListBullet"/>
      </w:pPr>
      <w:r>
        <w:t>Для будущего incremental режима — предыдущий IndicatorState и новая confirmed bar.</w:t>
      </w:r>
    </w:p>
    <w:p>
      <w:pPr>
        <w:pStyle w:val="Heading2"/>
      </w:pPr>
      <w:r>
        <w:t>5.2 Выход Indicator Engine</w:t>
      </w:r>
    </w:p>
    <w:p>
      <w:pPr>
        <w:pStyle w:val="ListBullet"/>
      </w:pPr>
      <w:r>
        <w:t>Единая aligned временная ось.</w:t>
      </w:r>
    </w:p>
    <w:p>
      <w:pPr>
        <w:pStyle w:val="ListBullet"/>
      </w:pPr>
      <w:r>
        <w:t>Named series для всех requested outputs.</w:t>
      </w:r>
    </w:p>
    <w:p>
      <w:pPr>
        <w:pStyle w:val="ListBullet"/>
      </w:pPr>
      <w:r>
        <w:t>Null/invalid значения до завершения warmup.</w:t>
      </w:r>
    </w:p>
    <w:p>
      <w:pPr>
        <w:pStyle w:val="ListBullet"/>
      </w:pPr>
      <w:r>
        <w:t>valid_from_ms / validity mask.</w:t>
      </w:r>
    </w:p>
    <w:p>
      <w:pPr>
        <w:pStyle w:val="ListBullet"/>
      </w:pPr>
      <w:r>
        <w:t>Feature identity, parameters и deterministic plan hash.</w:t>
      </w:r>
    </w:p>
    <w:p>
      <w:pPr>
        <w:pStyle w:val="ListBullet"/>
      </w:pPr>
      <w:r>
        <w:t>Для будущего incremental режима — NextIndicatorState.</w:t>
      </w:r>
    </w:p>
    <w:p>
      <w:pPr>
        <w:pStyle w:val="Heading2"/>
      </w:pPr>
      <w:r>
        <w:t>5.3 Что Indicator Engine не знает</w:t>
      </w:r>
    </w:p>
    <w:p>
      <w:pPr>
        <w:pStyle w:val="ListBullet"/>
      </w:pPr>
      <w:r>
        <w:t>Long/short side.</w:t>
      </w:r>
    </w:p>
    <w:p>
      <w:pPr>
        <w:pStyle w:val="ListBullet"/>
      </w:pPr>
      <w:r>
        <w:t>Entries, exits и blockers.</w:t>
      </w:r>
    </w:p>
    <w:p>
      <w:pPr>
        <w:pStyle w:val="ListBullet"/>
      </w:pPr>
      <w:r>
        <w:t>Position state.</w:t>
      </w:r>
    </w:p>
    <w:p>
      <w:pPr>
        <w:pStyle w:val="ListBullet"/>
      </w:pPr>
      <w:r>
        <w:t>Abi и биржевые заявки.</w:t>
      </w:r>
    </w:p>
    <w:p>
      <w:pPr>
        <w:pStyle w:val="ListBullet"/>
      </w:pPr>
      <w:r>
        <w:t>Backtest fills, fees и PnL.</w:t>
      </w:r>
    </w:p>
    <w:p>
      <w:pPr>
        <w:pStyle w:val="ListBullet"/>
      </w:pPr>
      <w:r>
        <w:t>Workbench presentation format.</w:t>
      </w:r>
    </w:p>
    <w:p>
      <w:pPr>
        <w:pStyle w:val="Heading1"/>
      </w:pPr>
      <w:r>
        <w:t>6. Внешние API нового сервиса</w:t>
      </w:r>
    </w:p>
    <w:p>
      <w:r>
        <w:t>API должны быть крупнозернистыми. Нельзя делать отдельный HTTP-вызов для каждой EMA, blocker или strategy component. Один запрос должен выражать цельную indicator evaluation либо strategy evaluation.</w:t>
      </w:r>
    </w:p>
    <w:p>
      <w:pPr>
        <w:pStyle w:val="Heading2"/>
      </w:pPr>
      <w:r>
        <w:t>6.1 Indicator catalog API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GET  /v1/indicators</w:t>
        <w:br/>
        <w:t>GET  /v1/indicators/{indicator_id}/schema</w:t>
        <w:br/>
        <w:t>POST /v1/indicator-plans/validate</w:t>
      </w:r>
    </w:p>
    <w:p>
      <w:r>
        <w:t>Назначение: BBB Composer и research tooling получают авторитетный перечень индикаторов, parameters, outputs, defaults, validation rules и capabilities.</w:t>
      </w:r>
    </w:p>
    <w:p>
      <w:pPr>
        <w:pStyle w:val="Heading2"/>
      </w:pPr>
      <w:r>
        <w:t>6.2 Indicator range evaluation API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POST /v1/indicator-evaluations/range</w:t>
      </w:r>
    </w:p>
    <w:p>
      <w:r>
        <w:t>Минимальный запрос: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{</w:t>
        <w:br/>
        <w:t xml:space="preserve">  "ticker": "BTCUSDT.P",</w:t>
        <w:br/>
        <w:t xml:space="preserve">  "base_timeframe": "5m",</w:t>
        <w:br/>
        <w:t xml:space="preserve">  "from_ms": 1710000000000,</w:t>
        <w:br/>
        <w:t xml:space="preserve">  "to_ms": 1720000000000,</w:t>
        <w:br/>
        <w:t xml:space="preserve">  "features": [</w:t>
        <w:br/>
        <w:t xml:space="preserve">    {"feature_id":"ema","output_id":"ema_5m_200","timeframe":"5m",</w:t>
        <w:br/>
        <w:t xml:space="preserve">     "parameters":{"period":200,"source":"close"}},</w:t>
        <w:br/>
        <w:t xml:space="preserve">    {"feature_id":"adx_dmi","output_id":"adx_dmi_1h_14","timeframe":"1h",</w:t>
        <w:br/>
        <w:t xml:space="preserve">     "parameters":{"period":14}}</w:t>
        <w:br/>
        <w:t xml:space="preserve">  ]</w:t>
        <w:br/>
        <w:t>}</w:t>
      </w:r>
    </w:p>
    <w:p>
      <w:r>
        <w:t>Минимальный ответ: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{</w:t>
        <w:br/>
        <w:t xml:space="preserve">  "ticker": "BTCUSDT.P",</w:t>
        <w:br/>
        <w:t xml:space="preserve">  "base_timeframe": "5m",</w:t>
        <w:br/>
        <w:t xml:space="preserve">  "from_ms": 1710000000000,</w:t>
        <w:br/>
        <w:t xml:space="preserve">  "to_ms": 1720000000000,</w:t>
        <w:br/>
        <w:t xml:space="preserve">  "time_ms": [1710000000000,1710000300000],</w:t>
        <w:br/>
        <w:t xml:space="preserve">  "series": {</w:t>
        <w:br/>
        <w:t xml:space="preserve">    "ema_5m_200": ["68450.12","68460.31"],</w:t>
        <w:br/>
        <w:t xml:space="preserve">    "adx_dmi_1h_14.adx": [null,"31.25"]</w:t>
        <w:br/>
        <w:t xml:space="preserve">  },</w:t>
        <w:br/>
        <w:t xml:space="preserve">  "valid_from_ms": {"ema_5m_200":1710060000000},</w:t>
        <w:br/>
        <w:t xml:space="preserve">  "feature_plan_hash": "sha256..."</w:t>
        <w:br/>
        <w:t>}</w:t>
      </w:r>
    </w:p>
    <w:p>
      <w:pPr>
        <w:pStyle w:val="Heading2"/>
      </w:pPr>
      <w:r>
        <w:t>6.3 Strategy catalog API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GET  /v1/strategies</w:t>
        <w:br/>
        <w:t>GET  /v1/strategies/{strategy_id}/schema</w:t>
        <w:br/>
        <w:t>POST /v1/strategies/{strategy_id}/validate</w:t>
      </w:r>
    </w:p>
    <w:p>
      <w:r>
        <w:t>Назначение: BBB Composer перестаёт хранить вторую авторитетную strategy schema. Переход можно делать поэтапно: сначала parity и read-only catalog, затем удаление legacy catalog.</w:t>
      </w:r>
    </w:p>
    <w:p>
      <w:pPr>
        <w:pStyle w:val="Heading2"/>
      </w:pPr>
      <w:r>
        <w:t>6.4 Strategy range evaluation API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POST /v1/strategy-evaluations/range</w:t>
      </w:r>
    </w:p>
    <w:p>
      <w:r>
        <w:t>Запрос: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{</w:t>
        <w:br/>
        <w:t xml:space="preserve">  "strategy_id": "ema_pullback",</w:t>
        <w:br/>
        <w:t xml:space="preserve">  "strategy_version": "v1",</w:t>
        <w:br/>
        <w:t xml:space="preserve">  "ticker": "BTCUSDT.P",</w:t>
        <w:br/>
        <w:t xml:space="preserve">  "base_timeframe": "5m",</w:t>
        <w:br/>
        <w:t xml:space="preserve">  "from_ms": 1710000000000,</w:t>
        <w:br/>
        <w:t xml:space="preserve">  "to_ms": 1720000000000,</w:t>
        <w:br/>
        <w:t xml:space="preserve">  "strategy_spec": {...},</w:t>
        <w:br/>
        <w:t xml:space="preserve">  "evaluation_profile": "research"</w:t>
        <w:br/>
        <w:t>}</w:t>
      </w:r>
    </w:p>
    <w:p>
      <w:r>
        <w:t>Сервис сам строит FeaturePlan из strategy spec, вызывает Indicator Engine напрямую и затем Strategy Engine. BBB не должен сначала самостоятельно считать features, а затем вторым запросом вызывать стратегию.</w:t>
      </w:r>
    </w:p>
    <w:p>
      <w:r>
        <w:t>Ответ должен содержать:</w:t>
      </w:r>
    </w:p>
    <w:p>
      <w:pPr>
        <w:pStyle w:val="ListBullet"/>
      </w:pPr>
      <w:r>
        <w:t>evaluation identity и config hash;</w:t>
      </w:r>
    </w:p>
    <w:p>
      <w:pPr>
        <w:pStyle w:val="ListBullet"/>
      </w:pPr>
      <w:r>
        <w:t>bar-aligned entry/exit/protection decisions;</w:t>
      </w:r>
    </w:p>
    <w:p>
      <w:pPr>
        <w:pStyle w:val="ListBullet"/>
      </w:pPr>
      <w:r>
        <w:t>component evidence и context outputs;</w:t>
      </w:r>
    </w:p>
    <w:p>
      <w:pPr>
        <w:pStyle w:val="ListBullet"/>
      </w:pPr>
      <w:r>
        <w:t>indicator/feature outputs, необходимые BBB для diagnostics и Workbench;</w:t>
      </w:r>
    </w:p>
    <w:p>
      <w:pPr>
        <w:pStyle w:val="ListBullet"/>
      </w:pPr>
      <w:r>
        <w:t>warmup/validity metadata;</w:t>
      </w:r>
    </w:p>
    <w:p>
      <w:pPr>
        <w:pStyle w:val="ListBullet"/>
      </w:pPr>
      <w:r>
        <w:t>strategy state artifacts, если они нужны для parity/replay;</w:t>
      </w:r>
    </w:p>
    <w:p>
      <w:pPr>
        <w:pStyle w:val="ListBullet"/>
      </w:pPr>
      <w:r>
        <w:t>никаких fills, fees, PnL и готовых trade records.</w:t>
      </w:r>
    </w:p>
    <w:p>
      <w:pPr>
        <w:pStyle w:val="Heading1"/>
      </w:pPr>
      <w:r>
        <w:t>7. Требования полной совместимости с BBB</w:t>
      </w:r>
    </w:p>
    <w:p>
      <w:r>
        <w:t>Совместимость означает не копирование текущих внутренних Python-объектов в JSON один в один, а возможность заменить источник расчётов за существующими BBB boundaries без изменения поведения Research и Workbench.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</w:tcPr>
          <w:p>
            <w:r>
              <w:rPr>
                <w:b/>
              </w:rPr>
              <w:t>BBB boundary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Сейчас</w:t>
            </w:r>
          </w:p>
        </w:tc>
        <w:tc>
          <w:tcPr>
            <w:tcW w:type="dxa" w:w="2520"/>
          </w:tcPr>
          <w:p>
            <w:r>
              <w:rPr>
                <w:b/>
              </w:rPr>
              <w:t>После cutover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2520"/>
          </w:tcPr>
          <w:p>
            <w:r>
              <w:t>Strategy config</w:t>
            </w:r>
          </w:p>
        </w:tc>
        <w:tc>
          <w:tcPr>
            <w:tcW w:type="dxa" w:w="2520"/>
          </w:tcPr>
          <w:p>
            <w:r>
              <w:t>BBB loader/spec</w:t>
            </w:r>
          </w:p>
        </w:tc>
        <w:tc>
          <w:tcPr>
            <w:tcW w:type="dxa" w:w="2520"/>
          </w:tcPr>
          <w:p>
            <w:r>
              <w:t>BBB передаёт spec в engine</w:t>
            </w:r>
          </w:p>
        </w:tc>
        <w:tc>
          <w:tcPr>
            <w:tcW w:type="dxa" w:w="2520"/>
          </w:tcPr>
          <w:p>
            <w:r>
              <w:t>Поля и validation semantics должны иметь parity.</w:t>
            </w:r>
          </w:p>
        </w:tc>
      </w:tr>
      <w:tr>
        <w:tc>
          <w:tcPr>
            <w:tcW w:type="dxa" w:w="2520"/>
          </w:tcPr>
          <w:p>
            <w:r>
              <w:t>FeaturePlan</w:t>
            </w:r>
          </w:p>
        </w:tc>
        <w:tc>
          <w:tcPr>
            <w:tcW w:type="dxa" w:w="2520"/>
          </w:tcPr>
          <w:p>
            <w:r>
              <w:t>Строится в BBB</w:t>
            </w:r>
          </w:p>
        </w:tc>
        <w:tc>
          <w:tcPr>
            <w:tcW w:type="dxa" w:w="2520"/>
          </w:tcPr>
          <w:p>
            <w:r>
              <w:t>Строится в engine</w:t>
            </w:r>
          </w:p>
        </w:tc>
        <w:tc>
          <w:tcPr>
            <w:tcW w:type="dxa" w:w="2520"/>
          </w:tcPr>
          <w:p>
            <w:r>
              <w:t>Идентичный набор features и output IDs.</w:t>
            </w:r>
          </w:p>
        </w:tc>
      </w:tr>
      <w:tr>
        <w:tc>
          <w:tcPr>
            <w:tcW w:type="dxa" w:w="2520"/>
          </w:tcPr>
          <w:p>
            <w:r>
              <w:t>Indicators</w:t>
            </w:r>
          </w:p>
        </w:tc>
        <w:tc>
          <w:tcPr>
            <w:tcW w:type="dxa" w:w="2520"/>
          </w:tcPr>
          <w:p>
            <w:r>
              <w:t>Считаются в BBB</w:t>
            </w:r>
          </w:p>
        </w:tc>
        <w:tc>
          <w:tcPr>
            <w:tcW w:type="dxa" w:w="2520"/>
          </w:tcPr>
          <w:p>
            <w:r>
              <w:t>Возвращаются Indicator API/Strategy result</w:t>
            </w:r>
          </w:p>
        </w:tc>
        <w:tc>
          <w:tcPr>
            <w:tcW w:type="dxa" w:w="2520"/>
          </w:tcPr>
          <w:p>
            <w:r>
              <w:t>Bar-by-bar numeric parity и одинаковый warmup.</w:t>
            </w:r>
          </w:p>
        </w:tc>
      </w:tr>
      <w:tr>
        <w:tc>
          <w:tcPr>
            <w:tcW w:type="dxa" w:w="2520"/>
          </w:tcPr>
          <w:p>
            <w:r>
              <w:t>Entries/exits</w:t>
            </w:r>
          </w:p>
        </w:tc>
        <w:tc>
          <w:tcPr>
            <w:tcW w:type="dxa" w:w="2520"/>
          </w:tcPr>
          <w:p>
            <w:r>
              <w:t>Считаются в BBB</w:t>
            </w:r>
          </w:p>
        </w:tc>
        <w:tc>
          <w:tcPr>
            <w:tcW w:type="dxa" w:w="2520"/>
          </w:tcPr>
          <w:p>
            <w:r>
              <w:t>Возвращаются Strategy API</w:t>
            </w:r>
          </w:p>
        </w:tc>
        <w:tc>
          <w:tcPr>
            <w:tcW w:type="dxa" w:w="2520"/>
          </w:tcPr>
          <w:p>
            <w:r>
              <w:t>Полное совпадение decisions на каждом bar.</w:t>
            </w:r>
          </w:p>
        </w:tc>
      </w:tr>
      <w:tr>
        <w:tc>
          <w:tcPr>
            <w:tcW w:type="dxa" w:w="2520"/>
          </w:tcPr>
          <w:p>
            <w:r>
              <w:t>Managed policy</w:t>
            </w:r>
          </w:p>
        </w:tc>
        <w:tc>
          <w:tcPr>
            <w:tcW w:type="dxa" w:w="2520"/>
          </w:tcPr>
          <w:p>
            <w:r>
              <w:t>В BBB execution path</w:t>
            </w:r>
          </w:p>
        </w:tc>
        <w:tc>
          <w:tcPr>
            <w:tcW w:type="dxa" w:w="2520"/>
          </w:tcPr>
          <w:p>
            <w:r>
              <w:t>Policy в engine, execution state у caller</w:t>
            </w:r>
          </w:p>
        </w:tc>
        <w:tc>
          <w:tcPr>
            <w:tcW w:type="dxa" w:w="2520"/>
          </w:tcPr>
          <w:p>
            <w:r>
              <w:t>Не должно остаться второй live/research policy.</w:t>
            </w:r>
          </w:p>
        </w:tc>
      </w:tr>
      <w:tr>
        <w:tc>
          <w:tcPr>
            <w:tcW w:type="dxa" w:w="2520"/>
          </w:tcPr>
          <w:p>
            <w:r>
              <w:t>Simulation</w:t>
            </w:r>
          </w:p>
        </w:tc>
        <w:tc>
          <w:tcPr>
            <w:tcW w:type="dxa" w:w="2520"/>
          </w:tcPr>
          <w:p>
            <w:r>
              <w:t>BBB</w:t>
            </w:r>
          </w:p>
        </w:tc>
        <w:tc>
          <w:tcPr>
            <w:tcW w:type="dxa" w:w="2520"/>
          </w:tcPr>
          <w:p>
            <w:r>
              <w:t>BBB</w:t>
            </w:r>
          </w:p>
        </w:tc>
        <w:tc>
          <w:tcPr>
            <w:tcW w:type="dxa" w:w="2520"/>
          </w:tcPr>
          <w:p>
            <w:r>
              <w:t>Сохраняются fills, fees, PnL и trade construction.</w:t>
            </w:r>
          </w:p>
        </w:tc>
      </w:tr>
      <w:tr>
        <w:tc>
          <w:tcPr>
            <w:tcW w:type="dxa" w:w="2520"/>
          </w:tcPr>
          <w:p>
            <w:r>
              <w:t>Workbench API</w:t>
            </w:r>
          </w:p>
        </w:tc>
        <w:tc>
          <w:tcPr>
            <w:tcW w:type="dxa" w:w="2520"/>
          </w:tcPr>
          <w:p>
            <w:r>
              <w:t>research_api/BFF</w:t>
            </w:r>
          </w:p>
        </w:tc>
        <w:tc>
          <w:tcPr>
            <w:tcW w:type="dxa" w:w="2520"/>
          </w:tcPr>
          <w:p>
            <w:r>
              <w:t>research_api/BFF</w:t>
            </w:r>
          </w:p>
        </w:tc>
        <w:tc>
          <w:tcPr>
            <w:tcW w:type="dxa" w:w="2520"/>
          </w:tcPr>
          <w:p>
            <w:r>
              <w:t>Frontend endpoints и DTO по возможности не меняются.</w:t>
            </w:r>
          </w:p>
        </w:tc>
      </w:tr>
      <w:tr>
        <w:tc>
          <w:tcPr>
            <w:tcW w:type="dxa" w:w="2520"/>
          </w:tcPr>
          <w:p>
            <w:r>
              <w:t>Composer</w:t>
            </w:r>
          </w:p>
        </w:tc>
        <w:tc>
          <w:tcPr>
            <w:tcW w:type="dxa" w:w="2520"/>
          </w:tcPr>
          <w:p>
            <w:r>
              <w:t>BBB catalog</w:t>
            </w:r>
          </w:p>
        </w:tc>
        <w:tc>
          <w:tcPr>
            <w:tcW w:type="dxa" w:w="2520"/>
          </w:tcPr>
          <w:p>
            <w:r>
              <w:t>Engine catalog через BBB BFF</w:t>
            </w:r>
          </w:p>
        </w:tc>
        <w:tc>
          <w:tcPr>
            <w:tcW w:type="dxa" w:w="2520"/>
          </w:tcPr>
          <w:p>
            <w:r>
              <w:t>Постепенный cutover с schema parity.</w:t>
            </w:r>
          </w:p>
        </w:tc>
      </w:tr>
    </w:tbl>
    <w:p>
      <w:pPr>
        <w:pStyle w:val="Heading2"/>
      </w:pPr>
      <w:r>
        <w:t>7.1 Требования к форматам</w:t>
      </w:r>
    </w:p>
    <w:p>
      <w:pPr>
        <w:pStyle w:val="ListBullet"/>
      </w:pPr>
      <w:r>
        <w:t>Canonical ticker: значения вида BTCUSDT.P.</w:t>
      </w:r>
    </w:p>
    <w:p>
      <w:pPr>
        <w:pStyle w:val="ListBullet"/>
      </w:pPr>
      <w:r>
        <w:t>Time boundaries: миллисекунды и half-open ranges [from_ms,to_ms).</w:t>
      </w:r>
    </w:p>
    <w:p>
      <w:pPr>
        <w:pStyle w:val="ListBullet"/>
      </w:pPr>
      <w:r>
        <w:t>Indicator values: Decimal text либо явный documented numeric format; null для warmup.</w:t>
      </w:r>
    </w:p>
    <w:p>
      <w:pPr>
        <w:pStyle w:val="ListBullet"/>
      </w:pPr>
      <w:r>
        <w:t>Stable output_id: BBB должен иметь возможность сопоставить series с текущими column/overlay identifiers.</w:t>
      </w:r>
    </w:p>
    <w:p>
      <w:pPr>
        <w:pStyle w:val="ListBullet"/>
      </w:pPr>
      <w:r>
        <w:t>Deterministic ordering: bars и events строго ascending.</w:t>
      </w:r>
    </w:p>
    <w:p>
      <w:pPr>
        <w:pStyle w:val="ListBullet"/>
      </w:pPr>
      <w:r>
        <w:t>Config hash и engine version обязательны для воспроизводимости.</w:t>
      </w:r>
    </w:p>
    <w:p>
      <w:pPr>
        <w:pStyle w:val="ListBullet"/>
      </w:pPr>
      <w:r>
        <w:t>Ошибки validation должны быть структурированными и пригодными для Composer.</w:t>
      </w:r>
    </w:p>
    <w:p>
      <w:pPr>
        <w:pStyle w:val="Heading2"/>
      </w:pPr>
      <w:r>
        <w:t>7.2 BBB adapter requirements</w:t>
      </w:r>
    </w:p>
    <w:p>
      <w:pPr>
        <w:pStyle w:val="ListBullet"/>
      </w:pPr>
      <w:r>
        <w:t>Добавить pooled HTTP client нового engine.</w:t>
      </w:r>
    </w:p>
    <w:p>
      <w:pPr>
        <w:pStyle w:val="ListBullet"/>
      </w:pPr>
      <w:r>
        <w:t>Сохранить существующие BBB service interfaces настолько, насколько это возможно.</w:t>
      </w:r>
    </w:p>
    <w:p>
      <w:pPr>
        <w:pStyle w:val="ListBullet"/>
      </w:pPr>
      <w:r>
        <w:t>Преобразовывать API result в текущие DataFrame/series/diagnostics representations внутри adapter layer.</w:t>
      </w:r>
    </w:p>
    <w:p>
      <w:pPr>
        <w:pStyle w:val="ListBullet"/>
      </w:pPr>
      <w:r>
        <w:t>Сохранить Workbench endpoints; frontend не подключать напрямую к новому engine.</w:t>
      </w:r>
    </w:p>
    <w:p>
      <w:pPr>
        <w:pStyle w:val="ListBullet"/>
      </w:pPr>
      <w:r>
        <w:t>Добавить old-vs-new golden parity fixtures.</w:t>
      </w:r>
    </w:p>
    <w:p>
      <w:pPr>
        <w:pStyle w:val="ListBullet"/>
      </w:pPr>
      <w:r>
        <w:t>После cutover удалить legacy indicator/strategy execution path, а не оставлять постоянный fallback.</w:t>
      </w:r>
    </w:p>
    <w:p>
      <w:pPr>
        <w:pStyle w:val="Heading1"/>
      </w:pPr>
      <w:r>
        <w:t>8. План смыслового вырезания ответственности</w:t>
      </w:r>
    </w:p>
    <w:p>
      <w:pPr>
        <w:pStyle w:val="Heading2"/>
      </w:pPr>
      <w:r>
        <w:t>Фаза 1 — полный аудит BBB</w:t>
      </w:r>
    </w:p>
    <w:p>
      <w:pPr>
        <w:pStyle w:val="ListBullet"/>
      </w:pPr>
      <w:r>
        <w:t>Составить inventory каждого файла и функции indicator/strategy pipeline.</w:t>
      </w:r>
    </w:p>
    <w:p>
      <w:pPr>
        <w:pStyle w:val="ListBullet"/>
      </w:pPr>
      <w:r>
        <w:t>Для каждой функции указать purpose, inputs, outputs, dependencies и caller.</w:t>
      </w:r>
    </w:p>
    <w:p>
      <w:pPr>
        <w:pStyle w:val="ListBullet"/>
      </w:pPr>
      <w:r>
        <w:t>Классифицировать: indicator semantic, strategy semantic, research-only, execution-only, presentation-only.</w:t>
      </w:r>
    </w:p>
    <w:p>
      <w:pPr>
        <w:pStyle w:val="ListBullet"/>
      </w:pPr>
      <w:r>
        <w:t>Зафиксировать port as-is, semantic rewrite, remain in BBB или delete after cutover.</w:t>
      </w:r>
    </w:p>
    <w:p>
      <w:pPr>
        <w:pStyle w:val="Heading2"/>
      </w:pPr>
      <w:r>
        <w:t>Фаза 2 — foundation нового репозитория</w:t>
      </w:r>
    </w:p>
    <w:p>
      <w:pPr>
        <w:pStyle w:val="ListBullet"/>
      </w:pPr>
      <w:r>
        <w:t>Создать независимые domain/application/ports/adapters для indicators и strategies.</w:t>
      </w:r>
    </w:p>
    <w:p>
      <w:pPr>
        <w:pStyle w:val="ListBullet"/>
      </w:pPr>
      <w:r>
        <w:t>Определить MarketFrame, FeaturePlan, FeatureFrame, StrategySpec, StrategyState, PositionState и decisions.</w:t>
      </w:r>
    </w:p>
    <w:p>
      <w:pPr>
        <w:pStyle w:val="ListBullet"/>
      </w:pPr>
      <w:r>
        <w:t>Добавить MDS client и catalog/validation skeleton.</w:t>
      </w:r>
    </w:p>
    <w:p>
      <w:pPr>
        <w:pStyle w:val="Heading2"/>
      </w:pPr>
      <w:r>
        <w:t>Фаза 3 — перенос Indicator Engine</w:t>
      </w:r>
    </w:p>
    <w:p>
      <w:pPr>
        <w:pStyle w:val="ListBullet"/>
      </w:pPr>
      <w:r>
        <w:t>Перенести formulas, timeframe alignment, HTF enrichment, naming и warmup semantics.</w:t>
      </w:r>
    </w:p>
    <w:p>
      <w:pPr>
        <w:pStyle w:val="ListBullet"/>
      </w:pPr>
      <w:r>
        <w:t>Добавить Indicator range API и catalog API.</w:t>
      </w:r>
    </w:p>
    <w:p>
      <w:pPr>
        <w:pStyle w:val="ListBullet"/>
      </w:pPr>
      <w:r>
        <w:t>Доказать series parity с BBB по каждому bar.</w:t>
      </w:r>
    </w:p>
    <w:p>
      <w:pPr>
        <w:pStyle w:val="Heading2"/>
      </w:pPr>
      <w:r>
        <w:t>Фаза 4 — перенос Strategy Engine</w:t>
      </w:r>
    </w:p>
    <w:p>
      <w:pPr>
        <w:pStyle w:val="ListBullet"/>
      </w:pPr>
      <w:r>
        <w:t>Перенести contexts, direction, blockers, setups, triggers, exits и managed policy.</w:t>
      </w:r>
    </w:p>
    <w:p>
      <w:pPr>
        <w:pStyle w:val="ListBullet"/>
      </w:pPr>
      <w:r>
        <w:t>Добавить Strategy range API и catalog API.</w:t>
      </w:r>
    </w:p>
    <w:p>
      <w:pPr>
        <w:pStyle w:val="ListBullet"/>
      </w:pPr>
      <w:r>
        <w:t>Доказать component/decision parity.</w:t>
      </w:r>
    </w:p>
    <w:p>
      <w:pPr>
        <w:pStyle w:val="Heading2"/>
      </w:pPr>
      <w:r>
        <w:t>Фаза 5 — BBB shadow integration</w:t>
      </w:r>
    </w:p>
    <w:p>
      <w:pPr>
        <w:pStyle w:val="ListBullet"/>
      </w:pPr>
      <w:r>
        <w:t>BBB вызывает legacy и новый engine на одинаковых runs.</w:t>
      </w:r>
    </w:p>
    <w:p>
      <w:pPr>
        <w:pStyle w:val="ListBullet"/>
      </w:pPr>
      <w:r>
        <w:t>Сравниваются features, decisions, resulting simulated trades и reports.</w:t>
      </w:r>
    </w:p>
    <w:p>
      <w:pPr>
        <w:pStyle w:val="ListBullet"/>
      </w:pPr>
      <w:r>
        <w:t>Новый результат пока не является production-authoritative.</w:t>
      </w:r>
    </w:p>
    <w:p>
      <w:pPr>
        <w:pStyle w:val="Heading2"/>
      </w:pPr>
      <w:r>
        <w:t>Фаза 6 — BBB cutover</w:t>
      </w:r>
    </w:p>
    <w:p>
      <w:pPr>
        <w:pStyle w:val="ListBullet"/>
      </w:pPr>
      <w:r>
        <w:t>Переключить adapters на API.</w:t>
      </w:r>
    </w:p>
    <w:p>
      <w:pPr>
        <w:pStyle w:val="ListBullet"/>
      </w:pPr>
      <w:r>
        <w:t>Сохранить simulator, reports и Workbench.</w:t>
      </w:r>
    </w:p>
    <w:p>
      <w:pPr>
        <w:pStyle w:val="ListBullet"/>
      </w:pPr>
      <w:r>
        <w:t>Удалить legacy indicator/strategy calculation после acceptance.</w:t>
      </w:r>
    </w:p>
    <w:p>
      <w:pPr>
        <w:pStyle w:val="Heading2"/>
      </w:pPr>
      <w:r>
        <w:t>Фаза 7 — будущий runtime wrapper</w:t>
      </w:r>
    </w:p>
    <w:p>
      <w:pPr>
        <w:pStyle w:val="ListBullet"/>
      </w:pPr>
      <w:r>
        <w:t>Добавить evaluate_bar / incremental IndicatorState / StrategyState.</w:t>
      </w:r>
    </w:p>
    <w:p>
      <w:pPr>
        <w:pStyle w:val="ListBullet"/>
      </w:pPr>
      <w:r>
        <w:t>Реализовать MDS subscription, checkpoint, replay и idempotency.</w:t>
      </w:r>
    </w:p>
    <w:p>
      <w:pPr>
        <w:pStyle w:val="ListBullet"/>
      </w:pPr>
      <w:r>
        <w:t>Проверить batch-vs-incremental parity.</w:t>
      </w:r>
    </w:p>
    <w:p>
      <w:pPr>
        <w:pStyle w:val="ListBullet"/>
      </w:pPr>
      <w:r>
        <w:t>Интегрировать StrategyDecision с Abi signal contract.</w:t>
      </w:r>
    </w:p>
    <w:p>
      <w:pPr>
        <w:pStyle w:val="Heading1"/>
      </w:pPr>
      <w:r>
        <w:t>9. Обязательная матрица аудита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</w:trPr>
        <w:tc>
          <w:tcPr>
            <w:tcW w:type="dxa" w:w="1260"/>
          </w:tcPr>
          <w:p>
            <w:r>
              <w:rPr>
                <w:b/>
              </w:rPr>
              <w:t>Файл / функция</w:t>
            </w:r>
          </w:p>
        </w:tc>
        <w:tc>
          <w:tcPr>
            <w:tcW w:type="dxa" w:w="1260"/>
          </w:tcPr>
          <w:p>
            <w:r>
              <w:rPr>
                <w:b/>
              </w:rPr>
              <w:t>Caller</w:t>
            </w:r>
          </w:p>
        </w:tc>
        <w:tc>
          <w:tcPr>
            <w:tcW w:type="dxa" w:w="1260"/>
          </w:tcPr>
          <w:p>
            <w:r>
              <w:rPr>
                <w:b/>
              </w:rPr>
              <w:t>Входы</w:t>
            </w:r>
          </w:p>
        </w:tc>
        <w:tc>
          <w:tcPr>
            <w:tcW w:type="dxa" w:w="1260"/>
          </w:tcPr>
          <w:p>
            <w:r>
              <w:rPr>
                <w:b/>
              </w:rPr>
              <w:t>Выходы</w:t>
            </w:r>
          </w:p>
        </w:tc>
        <w:tc>
          <w:tcPr>
            <w:tcW w:type="dxa" w:w="1260"/>
          </w:tcPr>
          <w:p>
            <w:r>
              <w:rPr>
                <w:b/>
              </w:rPr>
              <w:t>Ответственность</w:t>
            </w:r>
          </w:p>
        </w:tc>
        <w:tc>
          <w:tcPr>
            <w:tcW w:type="dxa" w:w="1260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1260"/>
          </w:tcPr>
          <w:p>
            <w:r>
              <w:rPr>
                <w:b/>
              </w:rPr>
              <w:t>Новый API/port</w:t>
            </w:r>
          </w:p>
        </w:tc>
        <w:tc>
          <w:tcPr>
            <w:tcW w:type="dxa" w:w="1260"/>
          </w:tcPr>
          <w:p>
            <w:r>
              <w:rPr>
                <w:b/>
              </w:rPr>
              <w:t>Parity test</w:t>
            </w:r>
          </w:p>
        </w:tc>
      </w:tr>
      <w:tr>
        <w:tc>
          <w:tcPr>
            <w:tcW w:type="dxa" w:w="1260"/>
          </w:tcPr>
          <w:p>
            <w:r>
              <w:t>FeaturePlan builder</w:t>
            </w:r>
          </w:p>
        </w:tc>
        <w:tc>
          <w:tcPr>
            <w:tcW w:type="dxa" w:w="1260"/>
          </w:tcPr>
          <w:p>
            <w:r>
              <w:t>strategy runner</w:t>
            </w:r>
          </w:p>
        </w:tc>
        <w:tc>
          <w:tcPr>
            <w:tcW w:type="dxa" w:w="1260"/>
          </w:tcPr>
          <w:p>
            <w:r>
              <w:t>StrategySpec</w:t>
            </w:r>
          </w:p>
        </w:tc>
        <w:tc>
          <w:tcPr>
            <w:tcW w:type="dxa" w:w="1260"/>
          </w:tcPr>
          <w:p>
            <w:r>
              <w:t>FeaturePlan</w:t>
            </w:r>
          </w:p>
        </w:tc>
        <w:tc>
          <w:tcPr>
            <w:tcW w:type="dxa" w:w="1260"/>
          </w:tcPr>
          <w:p>
            <w:r>
              <w:t>Indicator planning</w:t>
            </w:r>
          </w:p>
        </w:tc>
        <w:tc>
          <w:tcPr>
            <w:tcW w:type="dxa" w:w="1260"/>
          </w:tcPr>
          <w:p>
            <w:r>
              <w:t>Port</w:t>
            </w:r>
          </w:p>
        </w:tc>
        <w:tc>
          <w:tcPr>
            <w:tcW w:type="dxa" w:w="1260"/>
          </w:tcPr>
          <w:p>
            <w:r>
              <w:t>IndicatorPlan</w:t>
            </w:r>
          </w:p>
        </w:tc>
        <w:tc>
          <w:tcPr>
            <w:tcW w:type="dxa" w:w="1260"/>
          </w:tcPr>
          <w:p>
            <w:r>
              <w:t>Exact plan parity</w:t>
            </w:r>
          </w:p>
        </w:tc>
      </w:tr>
      <w:tr>
        <w:tc>
          <w:tcPr>
            <w:tcW w:type="dxa" w:w="1260"/>
          </w:tcPr>
          <w:p>
            <w:r>
              <w:t>EMA/RSI/ATR/ADX calc</w:t>
            </w:r>
          </w:p>
        </w:tc>
        <w:tc>
          <w:tcPr>
            <w:tcW w:type="dxa" w:w="1260"/>
          </w:tcPr>
          <w:p>
            <w:r>
              <w:t>feature calculator</w:t>
            </w:r>
          </w:p>
        </w:tc>
        <w:tc>
          <w:tcPr>
            <w:tcW w:type="dxa" w:w="1260"/>
          </w:tcPr>
          <w:p>
            <w:r>
              <w:t>MarketFrame+params</w:t>
            </w:r>
          </w:p>
        </w:tc>
        <w:tc>
          <w:tcPr>
            <w:tcW w:type="dxa" w:w="1260"/>
          </w:tcPr>
          <w:p>
            <w:r>
              <w:t>series</w:t>
            </w:r>
          </w:p>
        </w:tc>
        <w:tc>
          <w:tcPr>
            <w:tcW w:type="dxa" w:w="1260"/>
          </w:tcPr>
          <w:p>
            <w:r>
              <w:t>Indicator semantic</w:t>
            </w:r>
          </w:p>
        </w:tc>
        <w:tc>
          <w:tcPr>
            <w:tcW w:type="dxa" w:w="1260"/>
          </w:tcPr>
          <w:p>
            <w:r>
              <w:t>Port/rewrite</w:t>
            </w:r>
          </w:p>
        </w:tc>
        <w:tc>
          <w:tcPr>
            <w:tcW w:type="dxa" w:w="1260"/>
          </w:tcPr>
          <w:p>
            <w:r>
              <w:t>IndicatorEngine</w:t>
            </w:r>
          </w:p>
        </w:tc>
        <w:tc>
          <w:tcPr>
            <w:tcW w:type="dxa" w:w="1260"/>
          </w:tcPr>
          <w:p>
            <w:r>
              <w:t>Bar numeric parity</w:t>
            </w:r>
          </w:p>
        </w:tc>
      </w:tr>
      <w:tr>
        <w:tc>
          <w:tcPr>
            <w:tcW w:type="dxa" w:w="1260"/>
          </w:tcPr>
          <w:p>
            <w:r>
              <w:t>HTF alignment</w:t>
            </w:r>
          </w:p>
        </w:tc>
        <w:tc>
          <w:tcPr>
            <w:tcW w:type="dxa" w:w="1260"/>
          </w:tcPr>
          <w:p>
            <w:r>
              <w:t>feature calculator</w:t>
            </w:r>
          </w:p>
        </w:tc>
        <w:tc>
          <w:tcPr>
            <w:tcW w:type="dxa" w:w="1260"/>
          </w:tcPr>
          <w:p>
            <w:r>
              <w:t>base+HTF bars</w:t>
            </w:r>
          </w:p>
        </w:tc>
        <w:tc>
          <w:tcPr>
            <w:tcW w:type="dxa" w:w="1260"/>
          </w:tcPr>
          <w:p>
            <w:r>
              <w:t>aligned series</w:t>
            </w:r>
          </w:p>
        </w:tc>
        <w:tc>
          <w:tcPr>
            <w:tcW w:type="dxa" w:w="1260"/>
          </w:tcPr>
          <w:p>
            <w:r>
              <w:t>Indicator semantic</w:t>
            </w:r>
          </w:p>
        </w:tc>
        <w:tc>
          <w:tcPr>
            <w:tcW w:type="dxa" w:w="1260"/>
          </w:tcPr>
          <w:p>
            <w:r>
              <w:t>Port</w:t>
            </w:r>
          </w:p>
        </w:tc>
        <w:tc>
          <w:tcPr>
            <w:tcW w:type="dxa" w:w="1260"/>
          </w:tcPr>
          <w:p>
            <w:r>
              <w:t>IndicatorEngine</w:t>
            </w:r>
          </w:p>
        </w:tc>
        <w:tc>
          <w:tcPr>
            <w:tcW w:type="dxa" w:w="1260"/>
          </w:tcPr>
          <w:p>
            <w:r>
              <w:t>Boundary parity</w:t>
            </w:r>
          </w:p>
        </w:tc>
      </w:tr>
      <w:tr>
        <w:tc>
          <w:tcPr>
            <w:tcW w:type="dxa" w:w="1260"/>
          </w:tcPr>
          <w:p>
            <w:r>
              <w:t>Entry signal builder</w:t>
            </w:r>
          </w:p>
        </w:tc>
        <w:tc>
          <w:tcPr>
            <w:tcW w:type="dxa" w:w="1260"/>
          </w:tcPr>
          <w:p>
            <w:r>
              <w:t>strategy runner</w:t>
            </w:r>
          </w:p>
        </w:tc>
        <w:tc>
          <w:tcPr>
            <w:tcW w:type="dxa" w:w="1260"/>
          </w:tcPr>
          <w:p>
            <w:r>
              <w:t>FeatureFrame+Spec</w:t>
            </w:r>
          </w:p>
        </w:tc>
        <w:tc>
          <w:tcPr>
            <w:tcW w:type="dxa" w:w="1260"/>
          </w:tcPr>
          <w:p>
            <w:r>
              <w:t>entries</w:t>
            </w:r>
          </w:p>
        </w:tc>
        <w:tc>
          <w:tcPr>
            <w:tcW w:type="dxa" w:w="1260"/>
          </w:tcPr>
          <w:p>
            <w:r>
              <w:t>Strategy semantic</w:t>
            </w:r>
          </w:p>
        </w:tc>
        <w:tc>
          <w:tcPr>
            <w:tcW w:type="dxa" w:w="1260"/>
          </w:tcPr>
          <w:p>
            <w:r>
              <w:t>Port</w:t>
            </w:r>
          </w:p>
        </w:tc>
        <w:tc>
          <w:tcPr>
            <w:tcW w:type="dxa" w:w="1260"/>
          </w:tcPr>
          <w:p>
            <w:r>
              <w:t>StrategyEngine</w:t>
            </w:r>
          </w:p>
        </w:tc>
        <w:tc>
          <w:tcPr>
            <w:tcW w:type="dxa" w:w="1260"/>
          </w:tcPr>
          <w:p>
            <w:r>
              <w:t>Bar decision parity</w:t>
            </w:r>
          </w:p>
        </w:tc>
      </w:tr>
      <w:tr>
        <w:tc>
          <w:tcPr>
            <w:tcW w:type="dxa" w:w="1260"/>
          </w:tcPr>
          <w:p>
            <w:r>
              <w:t>Managed exit provider</w:t>
            </w:r>
          </w:p>
        </w:tc>
        <w:tc>
          <w:tcPr>
            <w:tcW w:type="dxa" w:w="1260"/>
          </w:tcPr>
          <w:p>
            <w:r>
              <w:t>execution loop</w:t>
            </w:r>
          </w:p>
        </w:tc>
        <w:tc>
          <w:tcPr>
            <w:tcW w:type="dxa" w:w="1260"/>
          </w:tcPr>
          <w:p>
            <w:r>
              <w:t>position+features+policy</w:t>
            </w:r>
          </w:p>
        </w:tc>
        <w:tc>
          <w:tcPr>
            <w:tcW w:type="dxa" w:w="1260"/>
          </w:tcPr>
          <w:p>
            <w:r>
              <w:t>protection/exit decision</w:t>
            </w:r>
          </w:p>
        </w:tc>
        <w:tc>
          <w:tcPr>
            <w:tcW w:type="dxa" w:w="1260"/>
          </w:tcPr>
          <w:p>
            <w:r>
              <w:t>Strategy policy</w:t>
            </w:r>
          </w:p>
        </w:tc>
        <w:tc>
          <w:tcPr>
            <w:tcW w:type="dxa" w:w="1260"/>
          </w:tcPr>
          <w:p>
            <w:r>
              <w:t>Split seam</w:t>
            </w:r>
          </w:p>
        </w:tc>
        <w:tc>
          <w:tcPr>
            <w:tcW w:type="dxa" w:w="1260"/>
          </w:tcPr>
          <w:p>
            <w:r>
              <w:t>PositionState→Decision</w:t>
            </w:r>
          </w:p>
        </w:tc>
        <w:tc>
          <w:tcPr>
            <w:tcW w:type="dxa" w:w="1260"/>
          </w:tcPr>
          <w:p>
            <w:r>
              <w:t>Trade lifecycle parity</w:t>
            </w:r>
          </w:p>
        </w:tc>
      </w:tr>
      <w:tr>
        <w:tc>
          <w:tcPr>
            <w:tcW w:type="dxa" w:w="1260"/>
          </w:tcPr>
          <w:p>
            <w:r>
              <w:t>VectorBT execution</w:t>
            </w:r>
          </w:p>
        </w:tc>
        <w:tc>
          <w:tcPr>
            <w:tcW w:type="dxa" w:w="1260"/>
          </w:tcPr>
          <w:p>
            <w:r>
              <w:t>backtest</w:t>
            </w:r>
          </w:p>
        </w:tc>
        <w:tc>
          <w:tcPr>
            <w:tcW w:type="dxa" w:w="1260"/>
          </w:tcPr>
          <w:p>
            <w:r>
              <w:t>entries/exits/OHLC</w:t>
            </w:r>
          </w:p>
        </w:tc>
        <w:tc>
          <w:tcPr>
            <w:tcW w:type="dxa" w:w="1260"/>
          </w:tcPr>
          <w:p>
            <w:r>
              <w:t>trades</w:t>
            </w:r>
          </w:p>
        </w:tc>
        <w:tc>
          <w:tcPr>
            <w:tcW w:type="dxa" w:w="1260"/>
          </w:tcPr>
          <w:p>
            <w:r>
              <w:t>Research execution</w:t>
            </w:r>
          </w:p>
        </w:tc>
        <w:tc>
          <w:tcPr>
            <w:tcW w:type="dxa" w:w="1260"/>
          </w:tcPr>
          <w:p>
            <w:r>
              <w:t>Remain</w:t>
            </w:r>
          </w:p>
        </w:tc>
        <w:tc>
          <w:tcPr>
            <w:tcW w:type="dxa" w:w="1260"/>
          </w:tcPr>
          <w:p>
            <w:r>
              <w:t>None</w:t>
            </w:r>
          </w:p>
        </w:tc>
        <w:tc>
          <w:tcPr>
            <w:tcW w:type="dxa" w:w="1260"/>
          </w:tcPr>
          <w:p>
            <w:r>
              <w:t>Existing tests</w:t>
            </w:r>
          </w:p>
        </w:tc>
      </w:tr>
      <w:tr>
        <w:tc>
          <w:tcPr>
            <w:tcW w:type="dxa" w:w="1260"/>
          </w:tcPr>
          <w:p>
            <w:r>
              <w:t>Report builder</w:t>
            </w:r>
          </w:p>
        </w:tc>
        <w:tc>
          <w:tcPr>
            <w:tcW w:type="dxa" w:w="1260"/>
          </w:tcPr>
          <w:p>
            <w:r>
              <w:t>run orchestration</w:t>
            </w:r>
          </w:p>
        </w:tc>
        <w:tc>
          <w:tcPr>
            <w:tcW w:type="dxa" w:w="1260"/>
          </w:tcPr>
          <w:p>
            <w:r>
              <w:t>trades+evidence</w:t>
            </w:r>
          </w:p>
        </w:tc>
        <w:tc>
          <w:tcPr>
            <w:tcW w:type="dxa" w:w="1260"/>
          </w:tcPr>
          <w:p>
            <w:r>
              <w:t>report</w:t>
            </w:r>
          </w:p>
        </w:tc>
        <w:tc>
          <w:tcPr>
            <w:tcW w:type="dxa" w:w="1260"/>
          </w:tcPr>
          <w:p>
            <w:r>
              <w:t>Research presentation</w:t>
            </w:r>
          </w:p>
        </w:tc>
        <w:tc>
          <w:tcPr>
            <w:tcW w:type="dxa" w:w="1260"/>
          </w:tcPr>
          <w:p>
            <w:r>
              <w:t>Remain</w:t>
            </w:r>
          </w:p>
        </w:tc>
        <w:tc>
          <w:tcPr>
            <w:tcW w:type="dxa" w:w="1260"/>
          </w:tcPr>
          <w:p>
            <w:r>
              <w:t>Consumes artifact</w:t>
            </w:r>
          </w:p>
        </w:tc>
        <w:tc>
          <w:tcPr>
            <w:tcW w:type="dxa" w:w="1260"/>
          </w:tcPr>
          <w:p>
            <w:r>
              <w:t>Report parity</w:t>
            </w:r>
          </w:p>
        </w:tc>
      </w:tr>
    </w:tbl>
    <w:p>
      <w:pPr>
        <w:pStyle w:val="Heading1"/>
      </w:pPr>
      <w:r>
        <w:t>10. Runtime bar-to-bar: концептуальная фиксация</w:t>
      </w:r>
    </w:p>
    <w:p>
      <w:r>
        <w:t>В рамках текущего вырезания runtime не реализуется. Однако новый engine обязан не закрыть путь к incremental evaluation.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New confirmed bar</w:t>
        <w:br/>
        <w:t>→ Runtime wrapper deduplicates</w:t>
        <w:br/>
        <w:t>→ IndicatorEngine.evaluate_bar(previous_indicator_state, bar)</w:t>
        <w:br/>
        <w:t>→ StrategyEngine.evaluate_bar(features, previous_strategy_state, position_state)</w:t>
        <w:br/>
        <w:t>→ StrategyDecision + next states</w:t>
        <w:br/>
        <w:t>→ persist checkpoint</w:t>
        <w:br/>
        <w:t>→ map decision to Abi signal</w:t>
        <w:br/>
        <w:t>→ record delivery idempotency</w:t>
      </w:r>
    </w:p>
    <w:p>
      <w:r>
        <w:t>До аудита не принимается решение, будет ли batch evaluator последовательным replay того же bar engine или отдельным vectorized backend. Обязательное требование в любом случае — полное batch/incremental decision parity на одинаковом наборе свечей.</w:t>
      </w:r>
    </w:p>
    <w:p>
      <w:pPr>
        <w:pStyle w:val="Heading1"/>
      </w:pPr>
      <w:r>
        <w:t>11. Acceptance criteria будущего cutover</w:t>
      </w:r>
    </w:p>
    <w:p>
      <w:pPr>
        <w:pStyle w:val="ListBullet"/>
      </w:pPr>
      <w:r>
        <w:t>Indicator plan parity: идентичные requested features и output IDs.</w:t>
      </w:r>
    </w:p>
    <w:p>
      <w:pPr>
        <w:pStyle w:val="ListBullet"/>
      </w:pPr>
      <w:r>
        <w:t>Indicator numeric parity по каждому bar с документированным tolerance.</w:t>
      </w:r>
    </w:p>
    <w:p>
      <w:pPr>
        <w:pStyle w:val="ListBullet"/>
      </w:pPr>
      <w:r>
        <w:t>Warmup/NaN/null parity.</w:t>
      </w:r>
    </w:p>
    <w:p>
      <w:pPr>
        <w:pStyle w:val="ListBullet"/>
      </w:pPr>
      <w:r>
        <w:t>Context and component-state parity.</w:t>
      </w:r>
    </w:p>
    <w:p>
      <w:pPr>
        <w:pStyle w:val="ListBullet"/>
      </w:pPr>
      <w:r>
        <w:t>Entry, exit и protection decision parity по каждому bar.</w:t>
      </w:r>
    </w:p>
    <w:p>
      <w:pPr>
        <w:pStyle w:val="ListBullet"/>
      </w:pPr>
      <w:r>
        <w:t>Managed lifecycle parity на representative trades.</w:t>
      </w:r>
    </w:p>
    <w:p>
      <w:pPr>
        <w:pStyle w:val="ListBullet"/>
      </w:pPr>
      <w:r>
        <w:t>BBB simulator получает эквивалентные inputs и формирует эквивалентные trades.</w:t>
      </w:r>
    </w:p>
    <w:p>
      <w:pPr>
        <w:pStyle w:val="ListBullet"/>
      </w:pPr>
      <w:r>
        <w:t>Report/trace/Workbench не теряют обязательные данные.</w:t>
      </w:r>
    </w:p>
    <w:p>
      <w:pPr>
        <w:pStyle w:val="ListBullet"/>
      </w:pPr>
      <w:r>
        <w:t>Workbench frontend не требует прямого подключения к новому сервису.</w:t>
      </w:r>
    </w:p>
    <w:p>
      <w:pPr>
        <w:pStyle w:val="ListBullet"/>
      </w:pPr>
      <w:r>
        <w:t>Legacy execution удаляется после acceptance.</w:t>
      </w:r>
    </w:p>
    <w:p>
      <w:pPr>
        <w:pStyle w:val="Heading1"/>
      </w:pPr>
      <w:r>
        <w:t>12. Итоговая граница швов</w:t>
      </w:r>
    </w:p>
    <w:p>
      <w:pPr>
        <w:spacing w:before="80" w:after="80"/>
        <w:ind w:left="360" w:right="216"/>
        <w:shd w:fill="F2F2F2"/>
      </w:pPr>
      <w:r>
        <w:rPr>
          <w:rFonts w:ascii="Courier New" w:hAnsi="Courier New"/>
          <w:sz w:val="18"/>
        </w:rPr>
        <w:t>INSIDE NEW REPOSITORY</w:t>
        <w:br/>
        <w:t>────────────────────────────────────────────────────────</w:t>
        <w:br/>
        <w:t>Indicator definitions / formulas / FeaturePlan / FeatureFrame</w:t>
        <w:br/>
        <w:t>Strategy config / validation / contexts / components</w:t>
        <w:br/>
        <w:t>Entry / exit / managed-policy semantics</w:t>
        <w:br/>
        <w:t>Strategy decisions / evidence / strategy state transitions</w:t>
        <w:br/>
        <w:t>Catalog and evaluation APIs</w:t>
        <w:br/>
        <w:t>────────────────────────────────────────────────────────</w:t>
        <w:br/>
        <w:t>SEAM</w:t>
        <w:br/>
        <w:t>Inputs: market identity+range, strategy spec, position state</w:t>
        <w:br/>
        <w:t>Outputs: features, decisions, evidence, next strategy state</w:t>
        <w:br/>
        <w:t>────────────────────────────────────────────────────────</w:t>
        <w:br/>
        <w:t>OUTSIDE NEW REPOSITORY</w:t>
        <w:br/>
        <w:t>BBB: experiments, simulation, trades, PnL, reports, Workbench</w:t>
        <w:br/>
        <w:t>Runtime wrapper: subscription, replay, checkpoint, idempotency</w:t>
        <w:br/>
        <w:t>Abi: orders, fills, positions, exchange reconciliation</w:t>
      </w:r>
    </w:p>
    <w:p>
      <w:r>
        <w:t>Эта граница позволяет BBB бесшовно перейти на API: его исследовательская и frontend-архитектура сохраняется, а расчёт индикаторов и торговые решения заменяются adapters к новому авторитетному engine.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