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ENERLYTICS</w:t>
      </w:r>
    </w:p>
    <w:p>
      <w:pPr>
        <w:spacing w:after="200"/>
      </w:pPr>
      <w:r>
        <w:rPr>
          <w:rFonts w:ascii="Arial" w:cs="Arial" w:eastAsia="Arial" w:hAnsi="Arial"/>
          <w:color w:val="334155"/>
          <w:sz w:val="36"/>
          <w:szCs w:val="36"/>
        </w:rPr>
        <w:t xml:space="preserve">SEO Strategy &amp; Legal Risk Assessment</w:t>
      </w:r>
    </w:p>
    <w:p>
      <w:pPr>
        <w:spacing w:after="8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EV Comparison Platform — DACH Market</w:t>
      </w:r>
    </w:p>
    <w:p>
      <w:pPr>
        <w:pBdr>
          <w:top w:val="single" w:color="1e3a5f" w:sz="2" w:space="8"/>
        </w:pBdr>
        <w:spacing w:before="600"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February 2026  |  Confidential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Disclaimer: This document provides strategic analysis, not legal advice. Consult qualified German/EU IP counsel before launch.</w:t>
      </w:r>
    </w:p>
    <w:p>
      <w:pPr>
        <w:sectPr>
          <w:pgSz w:w="11906" w:h="16838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Your platform (Vite + React SPA on Vercel) has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fundamental SEO limitations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significant legal exposure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from the data sourcing strategy. This document provides an actionable plan to fix both.</w:t>
      </w:r>
    </w:p>
    <w:p>
      <w:pPr>
        <w:spacing w:before="16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State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Rendering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CSR-only: Google sees empty HTML shell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SSG/ISR: 331 pre-rendered car pages, full HTML on first byte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Structured Data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None: no JSON-LD, no schema.org/Car markup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Full Product + Car schema on every detail page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Sitemap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Missing: Google discovers pages via JS links only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Dynamic sitemap.xml with 331+ URLs, auto-updated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Meta/OG Tags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Partial: Helmet tags render after JS, no og:image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Server-rendered meta tags, OG images per car model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Data Legality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High risk: scraped ev-database.org, ADAC, OEM images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Licensed/own data, compliant image sourcing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Content Depth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Spec tables + our range algorithm</w:t>
            </w:r>
          </w:p>
        </w:tc>
        <w:tc>
          <w:tcPr>
            <w:tcW w:type="dxa" w:w="3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+ methodology pages, editorial guides, blog content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Part 1: SEO Strategy</w:t>
      </w:r>
    </w:p>
    <w:p>
      <w:pPr>
        <w:pStyle w:val="Heading2"/>
        <w:spacing w:before="240" w:after="120"/>
      </w:pPr>
      <w:r>
        <w:t xml:space="preserve">1.1 The Core Problem: Client-Side Rendering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Your app is a Vite + React SPA. When Googlebot hits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/evs/tesla-model-y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, it receives an empty 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&lt;div id="root"&gt;&lt;/div&gt;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. While Google can execute JavaScript, CSR pages consistently underperform SSR/SSG pages on Core Web Vitals (LCP, CLS) and crawl efficiency. For 331 car detail pages competing against ADAC, Carwow, and AutoBild, this is a ranking disadvantage.</w:t>
      </w:r>
    </w:p>
    <w:p>
      <w:pPr>
        <w:pStyle w:val="Heading3"/>
        <w:spacing w:before="240" w:after="120"/>
      </w:pPr>
      <w:r>
        <w:t xml:space="preserve">Recommended: Migrate to Next.js with ISR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migration path from Vite+React to Next.js is straightforward since you already use React Router with slug-based routing. Next.js on Vercel with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Incremental Static Regeneration (ISR)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pre-renders all 331 car pages at build time, serves them from CDN, and revalidates every 24h when Supabase data changes. This gives you: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Full HTML on first byte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— Googlebot gets complete content without JS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Server-rendered meta tags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— og:title, og:image, description baked into HTML &lt;head&gt;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Sub-second LCP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— static HTML from Vercel CDN edge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Automatic sitemap generation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— next-sitemap creates sitemap.xml from your routes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Dynamic OG images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— @vercel/og generates car-specific social share images</w:t>
      </w:r>
    </w:p>
    <w:p>
      <w:pPr>
        <w:pStyle w:val="Heading2"/>
        <w:spacing w:before="240" w:after="120"/>
      </w:pPr>
      <w:r>
        <w:t xml:space="preserve">1.2 URL Architecture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Design URLs for both humans and search engines. Each URL pattern targets a specific keyword cluster.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Pattern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Keywords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/evs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/evs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elektroauto vergleich, e-auto datenbank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/evs/[slug]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/evs/tesla-model-y-long-range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Tesla Model Y Reichweite, Daten, Test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/evs?segment=suv&amp;hp=true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Filter-driven pages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elektro-suv mit wärmepumpe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/vergleich/[slug1]-vs-[slug2]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/vergleich/id4-vs-ioniq5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ID.4 vs Ioniq 5 Vergleich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/match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/match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welches e-auto passt zu mir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/methodik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/methodik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e-auto reichweite berechnung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/ratgeber/[topic]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/ratgeber/winter-reichweite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e-auto reichweite winter tipps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/reichweite-rechner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/reichweite-rechner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e-auto reichweite berechnen</w:t>
            </w:r>
          </w:p>
        </w:tc>
      </w:tr>
    </w:tbl>
    <w:p>
      <w:pPr>
        <w:pStyle w:val="Heading2"/>
        <w:spacing w:before="240" w:after="120"/>
      </w:pPr>
      <w:r>
        <w:t xml:space="preserve">1.3 Structured Data (JSON-LD)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Every car detail page needs schema.org/Product + schema.org/Car markup. This enables rich snippets in Google SERPs (price, rating, specs).</w:t>
      </w:r>
    </w:p>
    <w:p>
      <w:pPr>
        <w:pBdr>
          <w:left w:val="single" w:color="2563eb" w:sz="6" w:space="8"/>
        </w:pBdr>
        <w:shd w:fill="f8fafc" w:val="clear"/>
        <w:spacing w:before="80"/>
      </w:pPr>
      <w:r>
        <w:rPr>
          <w:rFonts w:ascii="Consolas" w:cs="Consolas" w:eastAsia="Consolas" w:hAnsi="Consolas"/>
          <w:color w:val="334155"/>
          <w:sz w:val="16"/>
          <w:szCs w:val="16"/>
        </w:rPr>
        <w:t xml:space="preserve">{ @context: schema.org, @type: [Product, Car], name: Tesla Model Y LR, brand: Tesla, fuelType: Electric, offers: { price: 52990, currency: EUR }, additionalProperty: [{ name: Real Range, value: 420 km }, { name: Winter Range, value: 310 km }, { name: Battery, value: 75 kWh NMC }] }</w:t>
      </w:r>
    </w:p>
    <w:p>
      <w:pPr>
        <w:pStyle w:val="Heading2"/>
        <w:spacing w:before="240" w:after="120"/>
      </w:pPr>
      <w:r>
        <w:t xml:space="preserve">1.4 Keyword Strategy for DACH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DACH market has distinct search behavior. German-language keywords dominate, and localization matters (Austria uses different terminology, Switzerland uses “ss” instead of “ß”).</w:t>
      </w:r>
    </w:p>
    <w:p>
      <w:pPr>
        <w:pStyle w:val="Heading3"/>
        <w:spacing w:before="240" w:after="120"/>
      </w:pPr>
      <w:r>
        <w:t xml:space="preserve">Tier 1: High-Volume Head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elektroauto vergleich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— target with /evs index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beste elektroautos 2026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— curated ranking page /beste-elektroautos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e-auto reichweite vergleich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— range-sorted view with visual chart</w:t>
      </w:r>
    </w:p>
    <w:p>
      <w:pPr>
        <w:pStyle w:val="Heading3"/>
        <w:spacing w:before="240" w:after="120"/>
      </w:pPr>
      <w:r>
        <w:t xml:space="preserve">Tier 2: Your Differentiators (Lower Competition)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e-auto reichweite winter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— your Winter Resilience Score™ is the moat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elektroauto autobahn reichweite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— your Autobahn range algorithm (unique content)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LFP vs NMC batterie vergleich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— chemistry-specific insights from your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e-auto mit wärmepumpe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— filter page + guide (heat pump = DACH killer feature)</w:t>
      </w:r>
    </w:p>
    <w:p>
      <w:pPr>
        <w:pStyle w:val="Heading3"/>
        <w:spacing w:before="240" w:after="120"/>
      </w:pPr>
      <w:r>
        <w:t xml:space="preserve">Tier 3: Long-Tail Conversion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[Model] vs [Model] vergleich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— auto-generated comparison pages (/vergleich/)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elektroauto schnellladung 10-80 vergleich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— charging-focused ranking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bestes elektro-suv für familien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— Family Readiness Score guide</w:t>
      </w:r>
    </w:p>
    <w:p>
      <w:pPr>
        <w:pStyle w:val="Heading2"/>
        <w:spacing w:before="240" w:after="120"/>
      </w:pPr>
      <w:r>
        <w:t xml:space="preserve">1.5 Content Strategy: The SEO Moat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Pure spec databases are commodity content. Your competitive advantage is the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physics-based range algorithm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DACH-specific scoring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. To capitalize on this for SEO: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Methodology Page (/methodik):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Publish how your algorithm works. Transparency = trust = links = authority. ADAC, university researchers, and EV journalists will link to a well-documented methodology.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Editorial Guides (/ratgeber/):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Write long-form content targeting informational queries. “How far does an EV really go in winter?” with your data backing it up. Each guide links to relevant car detail pages (internal linking).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Comparison Pages (/vergleich/):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Auto-generate the top 50 most-searched model-vs-model comparisons. Each page has original analysis (“The ID.4 loses 28% range in winter vs. the Ioniq 5’s 22%”).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Range Calculator (/reichweite-rechner):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Interactive tool where users input their commute, climate, and driving style. Generates a personalized estimate. Unique, shareable content.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hreflang Tags: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Serve de-DE, de-AT, de-CH variants. Swiss users search “Elektroauto Vergleich Schweiz” — add country-specific pricing and incentive info.</w:t>
      </w:r>
    </w:p>
    <w:p>
      <w:pPr>
        <w:pStyle w:val="Heading2"/>
        <w:spacing w:before="240" w:after="120"/>
      </w:pPr>
      <w:r>
        <w:t xml:space="preserve">1.6 Technical SEO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3826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Migrate to Next.js with ISR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Without this, nothing else matters for SEO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Add robots.txt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Allow: / ; Sitemap: /sitemap.xml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Generate sitemap.xml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next-sitemap with all 331+ car URLs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Add JSON-LD structured data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schema.org/Product + Car on every detail page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Add canonical URLs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P1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Prevent duplicate content from filter params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Add OG images per car model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P1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@vercel/og dynamic image generation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Add hreflang (de-DE, de-AT, de-CH)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P1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Country-specific pricing + incentives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Responsive image srcset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P2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Serve optimized WebP at 400/800/1200px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Google Search Console verification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Monitor indexing, coverage, Core Web Vitals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Add analytics (Plausible/Fathom)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P1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Privacy-first, no cookie consent needed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Create /methodik 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P1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Link magnet: publish your algorithm methodology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Create 10 /ratgeber/ articles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P2</w:t>
            </w:r>
          </w:p>
        </w:tc>
        <w:tc>
          <w:tcPr>
            <w:tcW w:type="dxa" w:w="3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Informational long-tail keyword targets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Part 2: Legal Risk Assessment</w:t>
      </w:r>
    </w:p>
    <w:p>
      <w:pPr>
        <w:pStyle w:val="Heading2"/>
        <w:spacing w:before="240" w:after="120"/>
      </w:pPr>
      <w:r>
        <w:t xml:space="preserve">2.1 Risk Summary Matrix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This matrix covers every data source currently used in the platform. Risk levels reflect German/EU law (UrhG, EU Database Directive 96/9/EC, GDPR).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552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&amp; Recommended Action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ev-database.org vehicle specs (scraped)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VERY HIGH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6"/>
                <w:szCs w:val="16"/>
              </w:rPr>
              <w:t xml:space="preserve">EU sui generis database right (§87b UrhG). Extracting 100% of records = clear infringement. TOS likely prohibits scraping (Ryanair precedent: TOS violation = contract breach even without IP protection). ACTION: Stop scraping. License their data or build own database from OEM spec sheets.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ev-database.org range estimates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VERY HIGH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6"/>
                <w:szCs w:val="16"/>
              </w:rPr>
              <w:t xml:space="preserve">Their “real range” estimates are derived calculations = intellectual creation under §4 UrhG (database works). Republishing without license = copyright infringement. ACTION: Replace with your own physics algorithm outputs (which you’ve already built). Use your model, not theirs.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ev-database.org images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VERY HIGH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6"/>
                <w:szCs w:val="16"/>
              </w:rPr>
              <w:t xml:space="preserve">Images are OEM press photos with editorial-use-only licenses. Your commercial use (comparison cards + leasing CTAs) exceeds editorial privilege. §2 UrhG copyright + potential OEM claims. ACTION: License images from OEMs directly, use stock providers (Getty/Shutterstock automotive), or commission custom photography.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ADAC test results (scraped)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VERY HIGH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6"/>
                <w:szCs w:val="16"/>
              </w:rPr>
              <w:t xml:space="preserve">ADAC test data is copyrighted as a compilation of original research (§2 UrhG). ADAC actively sends C&amp;D letters. ACTION: Don’t display scraped ADAC tables. Instead: cite + link. “According to ADAC testing, this car achieved X km range.” Brief citation with link = fair quotation (§51 UrhG).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Published Cd (drag coefficient) values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6"/>
                <w:szCs w:val="16"/>
              </w:rPr>
              <w:t xml:space="preserve">OEM-published spec values are factual data with no creative element. Facts are not copyrightable. Publishing Cd = 0.22 for Porsche Taycan is like stating its weight. ACTION: Safe to use. Attribute source: “Source: Porsche AG press release.”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Computed range estimates (your algorithm)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18"/>
                <w:szCs w:val="18"/>
              </w:rPr>
              <w:t xml:space="preserve">MEDIUM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6"/>
                <w:szCs w:val="16"/>
              </w:rPr>
              <w:t xml:space="preserve">Consumer protection risk under UWG (Unfair Competition Act) if estimates are misleading. No IP issue—your algorithm is your own work. ACTION: Always label as “Estimate”. Add prominent disclaimers. Publish methodology page. Never claim ADAC/WLTP certification.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OEM spec data (power, battery, dimensions)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6"/>
                <w:szCs w:val="16"/>
              </w:rPr>
              <w:t xml:space="preserve">Raw specifications from manufacturer data sheets = factual data. Not copyrightable. ACTION: Safe if sourced directly from OEM press releases / configurators. Document your sources.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Affiliate/leasing links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6"/>
                <w:szCs w:val="16"/>
              </w:rPr>
              <w:t xml:space="preserve">Legal if disclosed per Telemediengesetz (TMG) and UWG. ACTION: Mark affiliate links clearly. Add “Werbung” or “Anzeige” labels per German advertising law.</w:t>
            </w:r>
          </w:p>
        </w:tc>
      </w:tr>
    </w:tbl>
    <w:p>
      <w:pPr>
        <w:pStyle w:val="Heading2"/>
        <w:spacing w:before="240" w:after="120"/>
      </w:pPr>
      <w:r>
        <w:t xml:space="preserve">2.2 EU Database Directive (§87a-87e UrhG)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sui generis database right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protects database makers who invested substantially in obtaining, verifying, or presenting data. ev-database.org clearly qualifies: they compile, verify, and structure EV data from hundreds of sources. Extracting a “substantial part” (quantitative or qualitative) without authorization infringes this right.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Key case law: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The Innoweb v. Wegener (CJEU C-202/12) ruling held that a meta-search engine re-using another database’s content constitutes extraction/re-utilization under the Directive—even if the end user is the one making the query. This directly applies to your platform.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The TDM defense won’t help: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Article 4 of the DSM Directive allows text/data mining, but rights holders can opt out via robots.txt. If ev-database.org blocks scraping in their robots.txt or TOS, the exception doesn’t apply. And even if it did, re-publishing extracted data (not just mining it) exceeds the TDM scope.</w:t>
      </w:r>
    </w:p>
    <w:p>
      <w:pPr>
        <w:pStyle w:val="Heading2"/>
        <w:spacing w:before="240" w:after="120"/>
      </w:pPr>
      <w:r>
        <w:t xml:space="preserve">2.3 Image Licensing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Your 975 gallery images + 52 hero images were crawled from ev-database.org, which hosts OEM press photos. These carry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editorial-use-only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licenses from OEMs. The critical distinction: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Editorial use (allowed):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 news article reviewing the car, without affiliate links or commercial CTAs.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Commercial use (your case):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 comparison platform with “View Leasing Offers” buttons alongside car photos. This is monetized content using unlicensed images.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Exposure: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At ~975 images × €50–150 statutory damages per image (German case law), potential liability ranges from €48,750 to €146,250.</w:t>
      </w:r>
    </w:p>
    <w:p>
      <w:pPr>
        <w:pStyle w:val="Heading3"/>
        <w:spacing w:before="240" w:after="120"/>
      </w:pPr>
      <w:r>
        <w:t xml:space="preserve">Mitigation Options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OEM media portals: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Register at media.porsche.com, media.vw.com, etc. Many OEMs grant commercial licenses to automotive comparison sites. Free but requires approval.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Stock licensing: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Getty Images automotive collections offer commercial rights. ~€5–15 per image at volume.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imagin.studio API (your fallback):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Already integrated as fallback. Check their commercial license terms—the free tier may restrict commercial use.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Custom line-art schematics: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Aligns with your “Polestar/Apple aesthetics” brand. Zero copyright risk. Best long-term solution for differentiation.</w:t>
      </w:r>
    </w:p>
    <w:p>
      <w:pPr>
        <w:pStyle w:val="Heading2"/>
        <w:spacing w:before="240" w:after="120"/>
      </w:pPr>
      <w:r>
        <w:t xml:space="preserve">2.4 Computed Range Estimates: Disclaimer Requirements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Your physics-based range algorithm is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your own intellectual property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and legally safe to use. However, you face </w:t>
      </w: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consumer protection liability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under the UWG (Gesetz gegen den unlauteren Wettbewerb) if your estimates are presented in a way that could mislead consumers.</w:t>
      </w:r>
    </w:p>
    <w:p>
      <w:pPr>
        <w:pStyle w:val="Heading3"/>
        <w:spacing w:before="240" w:after="120"/>
      </w:pPr>
      <w:r>
        <w:t xml:space="preserve">Required Disclaimers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Every page displaying computed range values must include, prominently (not in fine print):</w:t>
      </w:r>
    </w:p>
    <w:p>
      <w:pPr>
        <w:pBdr>
          <w:left w:val="single" w:color="ea580c" w:sz="6" w:space="8"/>
        </w:pBdr>
        <w:shd w:fill="f8fafc" w:val="clear"/>
        <w:spacing w:before="80" w:after="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Hinweis: Die angezeigten Reichweiten sind Schätzungen unseres physikalischen Modells und keine zertifizierten Herstellerangaben. Die tatsächliche Reichweite hängt ab von: Temperatur, Fahrgeschwindigkeit, Fahrstil, Gelände, Batteriezustand und Nutzung der Klimaanlage. Bitte konsultieren Sie vor dem Kauf die offiziellen WLTP-Angaben des Herstellers.</w:t>
      </w:r>
    </w:p>
    <w:p>
      <w:pPr>
        <w:pStyle w:val="Heading3"/>
        <w:spacing w:before="240" w:after="120"/>
      </w:pPr>
      <w:r>
        <w:t xml:space="preserve">What to Avoid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Never say “tested range” or “confirmed range” — always “estimated” or “calculated”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Never claim your estimates are “more accurate than WLTP” (even if true)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Never imply ADAC endorsement or certification of your algorithm</w:t>
      </w:r>
    </w:p>
    <w:p>
      <w:pPr>
        <w:pStyle w:val="Heading2"/>
        <w:spacing w:before="240" w:after="120"/>
      </w:pPr>
      <w:r>
        <w:t xml:space="preserve">2.5 Required Legal Pages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German Telemediengesetz (TMG) and GDPR require these pages for any commercial website: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Legal Basis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Impressum (/impressum)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§5 TMG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Full name, address, email, phone, Steuernummer/USt-IdNr. Must be accessible from every page within 2 clicks.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Datenschutzerklärung (/datenschutz)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Art. 13 GDPR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 controller info, purposes, legal basis, retention periods, third-party transfers (Supabase, Vercel), user rights, DPO contact.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Cookie Policy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ePrivacy + TTDSG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Cookie consent banner required if using analytics/tracking. If using Plausible (cookieless), no consent banner needed.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Haftungsausschluss (Disclaimer)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UWG / BGB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Range estimate disclaimer (see above). Liability limitation for computed values. No investment/purchase advice.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Affiliate Disclosure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§6 TMG / UWG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Mark all affiliate links with “Werbung” or “Anzeige”. Disclose commercial relationships.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Methodology (/methodik)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Best practice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Builds trust + SEO link magnet. Explain algorithm, data sources, limitations.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Part 3: Prioritized Action Plan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Organized by urgency. Address legal risks before scaling SEO.</w:t>
      </w:r>
    </w:p>
    <w:p>
      <w:pPr>
        <w:pStyle w:val="Heading2"/>
        <w:spacing w:before="240" w:after="120"/>
      </w:pPr>
      <w:r>
        <w:t xml:space="preserve">Phase 0: De-Risk (Before Public Launch)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Replace ev-database.org range estimates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with your own physics algorithm outputs. You already have rangeAlgorithm.ts—deploy it. This removes the highest-value copyrighted content from your stack.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Resolve image licensing.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Either: (a) register at OEM media portals and obtain commercial licenses, (b) switch to imagin.studio with verified commercial rights, or (c) use placeholder schematics while you secure proper licenses.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Remove scraped ADAC data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from your database. Replace with citation-style references (“ADAC reports X km range — see full test” with link).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Build your own spec database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from primary OEM sources (press releases, configurators). Document every data point’s provenance. This is the most important long-term investment.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Add Impressum + Datenschutzerklärung + Disclaimer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pages. Non-negotiable under German law. Missing Impressum alone can trigger Abmahnung (€500–2,000 per complaint).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Get legal review.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Have a German IP/media attorney review your data sources, image licenses, and disclaimer language before going live.</w:t>
      </w:r>
    </w:p>
    <w:p>
      <w:pPr>
        <w:pStyle w:val="Heading2"/>
        <w:spacing w:before="240" w:after="120"/>
      </w:pPr>
      <w:r>
        <w:t xml:space="preserve">Phase 1: SEO Foundation (Weeks 1–4)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Migrate to Next.js with ISR (or add Vite-plugin-ssr as interim solution)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Add robots.txt, sitemap.xml, JSON-LD structured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Set up Google Search Console + Plausible analytics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Deploy range disclaimer on all estimate-displaying pages</w:t>
      </w:r>
    </w:p>
    <w:p>
      <w:pPr>
        <w:pStyle w:val="Heading2"/>
        <w:spacing w:before="240" w:after="120"/>
      </w:pPr>
      <w:r>
        <w:t xml:space="preserve">Phase 2: Content &amp; Authority (Months 2–3)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Publish /methodik (algorithm methodology page) — target for backlinks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Create 10 /ratgeber/ guides targeting long-tail DACH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Generate top 50 model-vs-model comparison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Add hreflang for de-DE / de-AT / de-CH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Build interactive /reichweite-rechner (range calculator tool)</w:t>
      </w:r>
    </w:p>
    <w:p>
      <w:pPr>
        <w:pStyle w:val="Heading2"/>
        <w:spacing w:before="240" w:after="120"/>
      </w:pPr>
      <w:r>
        <w:t xml:space="preserve">Phase 3: Growth &amp; Monetization (Months 4+)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Negotiate OEM partnerships for image licensing + data feeds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Explore ADAC data licensing for enriched test comparisons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Launch leasing affiliate integration with proper “Werbung” disclosure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Submit to Google News for /ratgeber/ content coverage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Enerlytics — SEO &amp; Legal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2026-02-14T12:51:08.637Z</dcterms:created>
  <dcterms:modified xsi:type="dcterms:W3CDTF">2026-02-14T12:51:08.638Z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