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85" w:rsidRDefault="00334ED0">
      <w:proofErr w:type="gramStart"/>
      <w:r w:rsidRPr="00733DEA">
        <w:rPr>
          <w:b/>
          <w:sz w:val="24"/>
          <w:szCs w:val="24"/>
        </w:rPr>
        <w:t>MFSimpleEncode.exe</w:t>
      </w:r>
      <w:r>
        <w:t xml:space="preserve">  -</w:t>
      </w:r>
      <w:proofErr w:type="gramEnd"/>
      <w:r w:rsidR="00292BA4">
        <w:t xml:space="preserve"> This is a command line tool </w:t>
      </w:r>
      <w:r w:rsidR="00555C84">
        <w:t xml:space="preserve">that </w:t>
      </w:r>
      <w:proofErr w:type="spellStart"/>
      <w:r w:rsidR="00292BA4">
        <w:t>transcode</w:t>
      </w:r>
      <w:r w:rsidR="00555C84">
        <w:t>s</w:t>
      </w:r>
      <w:proofErr w:type="spellEnd"/>
      <w:r w:rsidR="00292BA4">
        <w:t xml:space="preserve"> file</w:t>
      </w:r>
      <w:r w:rsidR="00380EB2">
        <w:t>s</w:t>
      </w:r>
      <w:r w:rsidR="00292BA4">
        <w:t xml:space="preserve"> from one </w:t>
      </w:r>
      <w:r w:rsidR="00555C84">
        <w:t xml:space="preserve">media </w:t>
      </w:r>
      <w:r w:rsidR="00292BA4">
        <w:t xml:space="preserve">format to another. </w:t>
      </w:r>
      <w:r w:rsidR="00380EB2">
        <w:t xml:space="preserve">The source </w:t>
      </w:r>
      <w:r w:rsidR="00292BA4">
        <w:t xml:space="preserve">code </w:t>
      </w:r>
      <w:r w:rsidR="00BF1146">
        <w:t xml:space="preserve">is provided to use as a reference </w:t>
      </w:r>
      <w:r w:rsidR="00911768">
        <w:t xml:space="preserve">if you </w:t>
      </w:r>
      <w:r w:rsidR="00292BA4">
        <w:t xml:space="preserve">write </w:t>
      </w:r>
      <w:r w:rsidR="00911768">
        <w:t xml:space="preserve">your own </w:t>
      </w:r>
      <w:proofErr w:type="spellStart"/>
      <w:r w:rsidR="00292BA4">
        <w:t>transcode</w:t>
      </w:r>
      <w:proofErr w:type="spellEnd"/>
      <w:r w:rsidR="00292BA4">
        <w:t xml:space="preserve"> app</w:t>
      </w:r>
      <w:r w:rsidR="00380EB2">
        <w:t>lication</w:t>
      </w:r>
      <w:r w:rsidR="00911768">
        <w:t>.</w:t>
      </w:r>
      <w:r w:rsidR="00292BA4">
        <w:t xml:space="preserve"> </w:t>
      </w:r>
      <w:r w:rsidR="00911768">
        <w:t>This tool uses the</w:t>
      </w:r>
      <w:r w:rsidR="00380EB2">
        <w:t xml:space="preserve"> </w:t>
      </w:r>
      <w:r w:rsidR="00292BA4" w:rsidRPr="0080011B">
        <w:t>M</w:t>
      </w:r>
      <w:r w:rsidR="00380EB2" w:rsidRPr="0080011B">
        <w:t xml:space="preserve">edia </w:t>
      </w:r>
      <w:r w:rsidR="00292BA4" w:rsidRPr="0080011B">
        <w:t>F</w:t>
      </w:r>
      <w:r w:rsidR="00380EB2" w:rsidRPr="0080011B">
        <w:t>oundation</w:t>
      </w:r>
      <w:r w:rsidR="00292BA4" w:rsidRPr="0080011B">
        <w:t xml:space="preserve"> </w:t>
      </w:r>
      <w:hyperlink r:id="rId7" w:history="1">
        <w:proofErr w:type="spellStart"/>
        <w:r w:rsidR="00292BA4" w:rsidRPr="0080011B">
          <w:rPr>
            <w:rStyle w:val="Hyperlink"/>
          </w:rPr>
          <w:t>transcode</w:t>
        </w:r>
        <w:proofErr w:type="spellEnd"/>
        <w:r w:rsidR="00292BA4" w:rsidRPr="0080011B">
          <w:rPr>
            <w:rStyle w:val="Hyperlink"/>
          </w:rPr>
          <w:t xml:space="preserve"> API</w:t>
        </w:r>
      </w:hyperlink>
      <w:r w:rsidR="000B41EC">
        <w:t>, which was introduced in Windows 7</w:t>
      </w:r>
      <w:r w:rsidR="00292BA4">
        <w:t xml:space="preserve">. </w:t>
      </w:r>
    </w:p>
    <w:p w:rsidR="00292BA4" w:rsidRDefault="00292BA4"/>
    <w:p w:rsidR="00FB11D2" w:rsidRPr="00FB11D2" w:rsidRDefault="00FB11D2" w:rsidP="00FB11D2">
      <w:pPr>
        <w:rPr>
          <w:b/>
          <w:sz w:val="24"/>
          <w:szCs w:val="24"/>
        </w:rPr>
      </w:pPr>
      <w:r w:rsidRPr="00FB11D2">
        <w:rPr>
          <w:b/>
          <w:sz w:val="24"/>
          <w:szCs w:val="24"/>
        </w:rPr>
        <w:t xml:space="preserve">Project Structure: </w:t>
      </w:r>
    </w:p>
    <w:p w:rsidR="00FB11D2" w:rsidRDefault="00FB11D2" w:rsidP="00FB11D2">
      <w:proofErr w:type="spellStart"/>
      <w:r>
        <w:t>MFSimpleEncode.vcproj</w:t>
      </w:r>
      <w:proofErr w:type="spellEnd"/>
    </w:p>
    <w:p w:rsidR="00FB11D2" w:rsidRDefault="00FB11D2" w:rsidP="00FB11D2">
      <w:r>
        <w:t xml:space="preserve">    </w:t>
      </w:r>
      <w:r w:rsidR="00910DF3">
        <w:t>T</w:t>
      </w:r>
      <w:r>
        <w:t>he main project file for VC++ projects generated using an Application Wizard. It contains information about the version of Visual C</w:t>
      </w:r>
      <w:r w:rsidR="002922D4">
        <w:t>++ that generated the file, and</w:t>
      </w:r>
      <w:r>
        <w:t xml:space="preserve"> information about the platforms, configurations, and project features selected with the Application Wizard.</w:t>
      </w:r>
    </w:p>
    <w:p w:rsidR="00FB11D2" w:rsidRDefault="00FB11D2" w:rsidP="00FB11D2">
      <w:r>
        <w:t>MFSimpleEncode.cpp</w:t>
      </w:r>
    </w:p>
    <w:p w:rsidR="00FB11D2" w:rsidRDefault="00FB11D2" w:rsidP="00FB11D2">
      <w:r>
        <w:t xml:space="preserve">    </w:t>
      </w:r>
      <w:proofErr w:type="gramStart"/>
      <w:r w:rsidR="00910DF3">
        <w:t>T</w:t>
      </w:r>
      <w:r>
        <w:t>he main application source file.</w:t>
      </w:r>
      <w:proofErr w:type="gramEnd"/>
    </w:p>
    <w:p w:rsidR="00FB11D2" w:rsidRDefault="00FB11D2" w:rsidP="00FB11D2">
      <w:r>
        <w:t>EncodeEngine.cpp</w:t>
      </w:r>
    </w:p>
    <w:p w:rsidR="00FB11D2" w:rsidRDefault="00FB11D2" w:rsidP="00FB11D2">
      <w:r>
        <w:t xml:space="preserve">    This is </w:t>
      </w:r>
      <w:r w:rsidR="00380EB2">
        <w:t xml:space="preserve">the encoding </w:t>
      </w:r>
      <w:r>
        <w:t xml:space="preserve">engine that </w:t>
      </w:r>
      <w:r w:rsidR="00380EB2">
        <w:t xml:space="preserve">the </w:t>
      </w:r>
      <w:r>
        <w:t>application call</w:t>
      </w:r>
      <w:r w:rsidR="00380EB2">
        <w:t>s</w:t>
      </w:r>
      <w:r>
        <w:t xml:space="preserve"> into. </w:t>
      </w:r>
      <w:r>
        <w:tab/>
      </w:r>
    </w:p>
    <w:p w:rsidR="00FB11D2" w:rsidRDefault="00FB11D2" w:rsidP="00FB11D2">
      <w:r>
        <w:t>EventHandler.cpp</w:t>
      </w:r>
    </w:p>
    <w:p w:rsidR="00FB11D2" w:rsidRDefault="00FB11D2" w:rsidP="00FB11D2">
      <w:r>
        <w:tab/>
        <w:t>This class handle</w:t>
      </w:r>
      <w:r w:rsidR="00380EB2">
        <w:t>s</w:t>
      </w:r>
      <w:r>
        <w:t xml:space="preserve"> async</w:t>
      </w:r>
      <w:r w:rsidR="00380EB2">
        <w:t>hronous</w:t>
      </w:r>
      <w:r>
        <w:t xml:space="preserve"> callback</w:t>
      </w:r>
      <w:r w:rsidR="00380EB2">
        <w:t>s</w:t>
      </w:r>
      <w:r>
        <w:t xml:space="preserve">. </w:t>
      </w:r>
      <w:r>
        <w:tab/>
      </w:r>
    </w:p>
    <w:p w:rsidR="00FB11D2" w:rsidRDefault="00FB11D2" w:rsidP="00FB11D2">
      <w:r>
        <w:t>ProfileBuilder.cpp</w:t>
      </w:r>
    </w:p>
    <w:p w:rsidR="00FB11D2" w:rsidRDefault="00FB11D2" w:rsidP="00FB11D2">
      <w:r>
        <w:tab/>
        <w:t xml:space="preserve">This class </w:t>
      </w:r>
      <w:r w:rsidR="00380EB2">
        <w:t xml:space="preserve">is used to </w:t>
      </w:r>
      <w:r w:rsidR="00030504">
        <w:t xml:space="preserve">create the preferred </w:t>
      </w:r>
      <w:r>
        <w:t>output media types</w:t>
      </w:r>
      <w:r w:rsidR="00380EB2">
        <w:t xml:space="preserve"> for </w:t>
      </w:r>
      <w:proofErr w:type="spellStart"/>
      <w:r w:rsidR="00380EB2">
        <w:t>transcoding</w:t>
      </w:r>
      <w:proofErr w:type="spellEnd"/>
      <w:r>
        <w:t xml:space="preserve">. </w:t>
      </w:r>
      <w:r>
        <w:tab/>
      </w:r>
    </w:p>
    <w:p w:rsidR="00FB11D2" w:rsidRDefault="00FB11D2" w:rsidP="00FB11D2">
      <w:r>
        <w:t>SourceManager.cpp</w:t>
      </w:r>
    </w:p>
    <w:p w:rsidR="00FB11D2" w:rsidRDefault="00FB11D2">
      <w:r>
        <w:tab/>
        <w:t xml:space="preserve">This class </w:t>
      </w:r>
      <w:r w:rsidR="00380EB2">
        <w:t xml:space="preserve">is used to </w:t>
      </w:r>
      <w:r>
        <w:t xml:space="preserve">create </w:t>
      </w:r>
      <w:r w:rsidR="00380EB2">
        <w:t xml:space="preserve">a </w:t>
      </w:r>
      <w:r>
        <w:t>M</w:t>
      </w:r>
      <w:r w:rsidR="00380EB2">
        <w:t xml:space="preserve">edia </w:t>
      </w:r>
      <w:r>
        <w:t>F</w:t>
      </w:r>
      <w:r w:rsidR="00380EB2">
        <w:t>oundation</w:t>
      </w:r>
      <w:r>
        <w:t xml:space="preserve"> media source from </w:t>
      </w:r>
      <w:r w:rsidR="00380EB2">
        <w:t>a URL</w:t>
      </w:r>
      <w:r>
        <w:t>.</w:t>
      </w:r>
    </w:p>
    <w:p w:rsidR="003A72D3" w:rsidRDefault="003A72D3"/>
    <w:p w:rsidR="00334ED0" w:rsidRDefault="00334ED0" w:rsidP="003A72D3">
      <w:pPr>
        <w:rPr>
          <w:b/>
          <w:sz w:val="24"/>
          <w:szCs w:val="24"/>
        </w:rPr>
      </w:pPr>
      <w:r w:rsidRPr="00733DEA">
        <w:rPr>
          <w:b/>
          <w:sz w:val="24"/>
          <w:szCs w:val="24"/>
        </w:rPr>
        <w:t>Usage:</w:t>
      </w:r>
    </w:p>
    <w:p w:rsidR="00364D4A" w:rsidRDefault="00A66C6E" w:rsidP="001D2530">
      <w:r>
        <w:t>MF</w:t>
      </w:r>
      <w:r w:rsidR="001D2530" w:rsidRPr="001D2530">
        <w:t>SimpleEncode.exe -</w:t>
      </w:r>
      <w:proofErr w:type="spellStart"/>
      <w:r w:rsidR="001D2530" w:rsidRPr="001D2530">
        <w:t>i</w:t>
      </w:r>
      <w:proofErr w:type="spellEnd"/>
      <w:r w:rsidR="001D2530" w:rsidRPr="001D2530">
        <w:t xml:space="preserve"> INPUTFILE -o OUTPUTFILE [-p</w:t>
      </w:r>
      <w:r w:rsidR="007034FD">
        <w:t xml:space="preserve"> PROFILE] [-t DURATION] [-</w:t>
      </w:r>
      <w:proofErr w:type="spellStart"/>
      <w:r w:rsidR="007034FD">
        <w:t>splitAudio</w:t>
      </w:r>
      <w:proofErr w:type="spellEnd"/>
      <w:r w:rsidR="007034FD">
        <w:t xml:space="preserve"> CONTAINER] </w:t>
      </w:r>
      <w:r w:rsidR="001D2530" w:rsidRPr="001D2530">
        <w:t>[-</w:t>
      </w:r>
      <w:proofErr w:type="spellStart"/>
      <w:r w:rsidR="001D2530" w:rsidRPr="001D2530">
        <w:t>splitVideo</w:t>
      </w:r>
      <w:proofErr w:type="spellEnd"/>
      <w:r w:rsidR="001D2530" w:rsidRPr="001D2530">
        <w:t xml:space="preserve"> CONTAINER] [-</w:t>
      </w:r>
      <w:proofErr w:type="spellStart"/>
      <w:r w:rsidR="001D2530" w:rsidRPr="001D2530">
        <w:t>remux</w:t>
      </w:r>
      <w:proofErr w:type="spellEnd"/>
      <w:r w:rsidR="001D2530" w:rsidRPr="001D2530">
        <w:t xml:space="preserve"> CONTAINER]</w:t>
      </w:r>
    </w:p>
    <w:p w:rsidR="001D2530" w:rsidRPr="00EA66AB" w:rsidRDefault="00334ED0" w:rsidP="001D2530">
      <w:pPr>
        <w:rPr>
          <w:b/>
        </w:rPr>
      </w:pPr>
      <w:r w:rsidRPr="00EA66AB">
        <w:rPr>
          <w:b/>
        </w:rPr>
        <w:t>-</w:t>
      </w:r>
      <w:proofErr w:type="spellStart"/>
      <w:r w:rsidRPr="00EA66AB">
        <w:rPr>
          <w:b/>
        </w:rPr>
        <w:t>i</w:t>
      </w:r>
      <w:proofErr w:type="spellEnd"/>
      <w:r w:rsidR="00E12F4A" w:rsidRPr="00EA66AB">
        <w:rPr>
          <w:b/>
        </w:rPr>
        <w:t xml:space="preserve"> </w:t>
      </w:r>
      <w:r w:rsidR="001D2530" w:rsidRPr="00EA66AB">
        <w:rPr>
          <w:b/>
        </w:rPr>
        <w:t xml:space="preserve">INPUTFILE </w:t>
      </w:r>
    </w:p>
    <w:p w:rsidR="006B3B17" w:rsidRPr="001D2530" w:rsidRDefault="006B3B17" w:rsidP="006B3B17">
      <w:proofErr w:type="gramStart"/>
      <w:r>
        <w:t>T</w:t>
      </w:r>
      <w:r w:rsidR="00334ED0">
        <w:t xml:space="preserve">he path </w:t>
      </w:r>
      <w:r w:rsidR="00E85452">
        <w:t xml:space="preserve">to </w:t>
      </w:r>
      <w:r w:rsidR="00334ED0">
        <w:t>the input file.</w:t>
      </w:r>
      <w:proofErr w:type="gramEnd"/>
      <w:r w:rsidR="00334ED0">
        <w:t xml:space="preserve"> </w:t>
      </w:r>
      <w:r>
        <w:t>The tool supports built-in</w:t>
      </w:r>
      <w:r w:rsidRPr="001D2530">
        <w:t xml:space="preserve"> input file format</w:t>
      </w:r>
      <w:r>
        <w:t>s</w:t>
      </w:r>
      <w:r w:rsidRPr="001D2530">
        <w:t>: ASF</w:t>
      </w:r>
      <w:r>
        <w:t>, AVI, WAV, MP</w:t>
      </w:r>
      <w:r w:rsidR="00EA66AB">
        <w:t>EG</w:t>
      </w:r>
      <w:r>
        <w:t>4, 3GP,</w:t>
      </w:r>
      <w:r w:rsidRPr="001D2530">
        <w:t xml:space="preserve"> MP3</w:t>
      </w:r>
      <w:r>
        <w:t xml:space="preserve"> </w:t>
      </w:r>
      <w:r w:rsidR="0021531F">
        <w:t>and</w:t>
      </w:r>
      <w:r>
        <w:t xml:space="preserve"> the registered 3</w:t>
      </w:r>
      <w:r w:rsidRPr="006B3B17">
        <w:rPr>
          <w:vertAlign w:val="superscript"/>
        </w:rPr>
        <w:t>rd</w:t>
      </w:r>
      <w:r>
        <w:t xml:space="preserve"> party MF sources. </w:t>
      </w:r>
    </w:p>
    <w:p w:rsidR="006B3B17" w:rsidRPr="00EA66AB" w:rsidRDefault="006B3B17" w:rsidP="006B3B17">
      <w:pPr>
        <w:rPr>
          <w:b/>
        </w:rPr>
      </w:pPr>
      <w:r w:rsidRPr="00EA66AB">
        <w:rPr>
          <w:b/>
        </w:rPr>
        <w:t xml:space="preserve">- </w:t>
      </w:r>
      <w:proofErr w:type="gramStart"/>
      <w:r w:rsidRPr="00EA66AB">
        <w:rPr>
          <w:b/>
        </w:rPr>
        <w:t>o</w:t>
      </w:r>
      <w:proofErr w:type="gramEnd"/>
      <w:r w:rsidRPr="00EA66AB">
        <w:rPr>
          <w:b/>
        </w:rPr>
        <w:t xml:space="preserve"> OUTPUTFILE </w:t>
      </w:r>
    </w:p>
    <w:p w:rsidR="00A709B5" w:rsidRPr="00EA66AB" w:rsidRDefault="006B3B17" w:rsidP="00733DEA">
      <w:pPr>
        <w:rPr>
          <w:b/>
          <w:sz w:val="24"/>
          <w:szCs w:val="24"/>
        </w:rPr>
      </w:pPr>
      <w:proofErr w:type="gramStart"/>
      <w:r>
        <w:lastRenderedPageBreak/>
        <w:t xml:space="preserve">The path </w:t>
      </w:r>
      <w:r w:rsidR="00E85452">
        <w:t>to</w:t>
      </w:r>
      <w:r>
        <w:t xml:space="preserve"> the output file.</w:t>
      </w:r>
      <w:proofErr w:type="gramEnd"/>
      <w:r>
        <w:t xml:space="preserve"> It is highly recommend</w:t>
      </w:r>
      <w:r w:rsidR="00BD041A">
        <w:t>ed</w:t>
      </w:r>
      <w:r>
        <w:t xml:space="preserve"> that you include the correct file extension, based on the file container. The tool supports </w:t>
      </w:r>
      <w:r w:rsidR="00EA66AB">
        <w:t xml:space="preserve">built-in output file </w:t>
      </w:r>
      <w:r w:rsidR="00EA66AB" w:rsidRPr="00030504">
        <w:t>formats</w:t>
      </w:r>
      <w:r w:rsidRPr="00030504">
        <w:rPr>
          <w:b/>
        </w:rPr>
        <w:t xml:space="preserve">: </w:t>
      </w:r>
      <w:r w:rsidRPr="00030504">
        <w:t>ASF</w:t>
      </w:r>
      <w:r w:rsidR="00EA66AB" w:rsidRPr="00030504">
        <w:t>, MPEG4,</w:t>
      </w:r>
      <w:r w:rsidR="0021531F" w:rsidRPr="00030504">
        <w:t xml:space="preserve"> 3GP and MP3.</w:t>
      </w:r>
    </w:p>
    <w:p w:rsidR="00334ED0" w:rsidRPr="00733DEA" w:rsidRDefault="00334ED0" w:rsidP="00733DEA">
      <w:pPr>
        <w:rPr>
          <w:b/>
        </w:rPr>
      </w:pPr>
      <w:r w:rsidRPr="00733DEA">
        <w:rPr>
          <w:b/>
        </w:rPr>
        <w:t>-</w:t>
      </w:r>
      <w:r w:rsidRPr="0021531F">
        <w:rPr>
          <w:b/>
        </w:rPr>
        <w:t xml:space="preserve">p </w:t>
      </w:r>
      <w:r w:rsidR="0021531F" w:rsidRPr="0021531F">
        <w:rPr>
          <w:b/>
        </w:rPr>
        <w:t>PROFILE</w:t>
      </w:r>
    </w:p>
    <w:p w:rsidR="00552AF6" w:rsidRDefault="000D5146" w:rsidP="00733DEA">
      <w:proofErr w:type="gramStart"/>
      <w:r>
        <w:t>T</w:t>
      </w:r>
      <w:r w:rsidR="00334ED0">
        <w:t xml:space="preserve">he path </w:t>
      </w:r>
      <w:r w:rsidR="00E85452">
        <w:t xml:space="preserve">to </w:t>
      </w:r>
      <w:r w:rsidR="00334ED0">
        <w:t xml:space="preserve">the </w:t>
      </w:r>
      <w:proofErr w:type="spellStart"/>
      <w:r w:rsidR="00334ED0">
        <w:t>transcode</w:t>
      </w:r>
      <w:proofErr w:type="spellEnd"/>
      <w:r w:rsidR="00334ED0">
        <w:t xml:space="preserve"> profile</w:t>
      </w:r>
      <w:r>
        <w:t xml:space="preserve"> file</w:t>
      </w:r>
      <w:r w:rsidR="00334ED0">
        <w:t>.</w:t>
      </w:r>
      <w:proofErr w:type="gramEnd"/>
      <w:r w:rsidR="00334ED0">
        <w:t xml:space="preserve"> </w:t>
      </w:r>
      <w:r w:rsidR="00EE04D0">
        <w:t>S</w:t>
      </w:r>
      <w:r w:rsidR="00334ED0">
        <w:t xml:space="preserve">ome example profiles </w:t>
      </w:r>
      <w:r w:rsidR="00BF2777">
        <w:t xml:space="preserve">are </w:t>
      </w:r>
      <w:r w:rsidR="00EE04D0">
        <w:t xml:space="preserve">provided </w:t>
      </w:r>
      <w:r w:rsidR="00334ED0">
        <w:t>under .\profiles</w:t>
      </w:r>
      <w:r w:rsidR="00552AF6">
        <w:t>. They are in XML format</w:t>
      </w:r>
      <w:r>
        <w:t>,</w:t>
      </w:r>
      <w:r w:rsidR="00552AF6">
        <w:t xml:space="preserve"> so that you can easily see the configuration or modify them for your own use. </w:t>
      </w:r>
      <w:r w:rsidR="00364D4A">
        <w:t>Several</w:t>
      </w:r>
      <w:r w:rsidR="00552AF6">
        <w:t xml:space="preserve"> </w:t>
      </w:r>
      <w:r>
        <w:t xml:space="preserve">example </w:t>
      </w:r>
      <w:r w:rsidR="00552AF6">
        <w:t xml:space="preserve">profiles </w:t>
      </w:r>
      <w:r>
        <w:t>are included:</w:t>
      </w:r>
      <w:r w:rsidR="00552AF6">
        <w:t xml:space="preserve"> </w:t>
      </w:r>
    </w:p>
    <w:p w:rsidR="00552AF6" w:rsidRDefault="0021531F" w:rsidP="00733DEA">
      <w:pPr>
        <w:pStyle w:val="ListParagraph"/>
        <w:numPr>
          <w:ilvl w:val="1"/>
          <w:numId w:val="15"/>
        </w:numPr>
      </w:pPr>
      <w:r w:rsidRPr="0021531F">
        <w:t>TranscodeProfileASF</w:t>
      </w:r>
      <w:r w:rsidR="00552AF6" w:rsidRPr="00552AF6">
        <w:t>.xm</w:t>
      </w:r>
      <w:r w:rsidR="00552AF6">
        <w:t xml:space="preserve">l </w:t>
      </w:r>
    </w:p>
    <w:p w:rsidR="00552AF6" w:rsidRDefault="00552AF6" w:rsidP="00733DEA">
      <w:pPr>
        <w:pStyle w:val="ListParagraph"/>
        <w:numPr>
          <w:ilvl w:val="2"/>
          <w:numId w:val="15"/>
        </w:numPr>
      </w:pPr>
      <w:proofErr w:type="spellStart"/>
      <w:r>
        <w:t>Transcode</w:t>
      </w:r>
      <w:r w:rsidR="00050896">
        <w:t>s</w:t>
      </w:r>
      <w:proofErr w:type="spellEnd"/>
      <w:r>
        <w:t xml:space="preserve"> to an ASF file.</w:t>
      </w:r>
    </w:p>
    <w:p w:rsidR="00552AF6" w:rsidRDefault="0021531F" w:rsidP="00733DEA">
      <w:pPr>
        <w:pStyle w:val="ListParagraph"/>
        <w:numPr>
          <w:ilvl w:val="1"/>
          <w:numId w:val="15"/>
        </w:numPr>
      </w:pPr>
      <w:r>
        <w:t>TranscodeProfileMPEG4</w:t>
      </w:r>
      <w:r w:rsidR="00552AF6">
        <w:t>.xml</w:t>
      </w:r>
    </w:p>
    <w:p w:rsidR="00552AF6" w:rsidRDefault="00552AF6" w:rsidP="00733DEA">
      <w:pPr>
        <w:pStyle w:val="ListParagraph"/>
        <w:numPr>
          <w:ilvl w:val="2"/>
          <w:numId w:val="15"/>
        </w:numPr>
      </w:pPr>
      <w:proofErr w:type="spellStart"/>
      <w:r>
        <w:t>Transcode</w:t>
      </w:r>
      <w:r w:rsidR="00050896">
        <w:t>s</w:t>
      </w:r>
      <w:proofErr w:type="spellEnd"/>
      <w:r>
        <w:t xml:space="preserve"> to a</w:t>
      </w:r>
      <w:r w:rsidR="00050896">
        <w:t>n</w:t>
      </w:r>
      <w:r>
        <w:t xml:space="preserve"> </w:t>
      </w:r>
      <w:r w:rsidR="00050896">
        <w:t xml:space="preserve">MPEG-4 </w:t>
      </w:r>
      <w:r>
        <w:t>file</w:t>
      </w:r>
      <w:r w:rsidR="00050896">
        <w:t>.</w:t>
      </w:r>
    </w:p>
    <w:p w:rsidR="00F477D2" w:rsidRDefault="00F477D2" w:rsidP="00F477D2">
      <w:pPr>
        <w:pStyle w:val="ListParagraph"/>
        <w:numPr>
          <w:ilvl w:val="1"/>
          <w:numId w:val="15"/>
        </w:numPr>
      </w:pPr>
      <w:r>
        <w:t>TranscodeProfileWMA_64k.xml</w:t>
      </w:r>
    </w:p>
    <w:p w:rsidR="00F477D2" w:rsidRDefault="00F477D2" w:rsidP="00F477D2">
      <w:pPr>
        <w:pStyle w:val="ListParagraph"/>
        <w:numPr>
          <w:ilvl w:val="2"/>
          <w:numId w:val="15"/>
        </w:numPr>
      </w:pPr>
      <w:proofErr w:type="spellStart"/>
      <w:r>
        <w:t>Transcode</w:t>
      </w:r>
      <w:proofErr w:type="spellEnd"/>
      <w:r>
        <w:t xml:space="preserve"> to a 64kbps WMA file. </w:t>
      </w:r>
    </w:p>
    <w:p w:rsidR="00F477D2" w:rsidRDefault="00F477D2" w:rsidP="00F477D2">
      <w:pPr>
        <w:pStyle w:val="ListParagraph"/>
        <w:numPr>
          <w:ilvl w:val="1"/>
          <w:numId w:val="15"/>
        </w:numPr>
      </w:pPr>
      <w:r>
        <w:t>TranscodeProfileWMA_128k.xml</w:t>
      </w:r>
    </w:p>
    <w:p w:rsidR="00F477D2" w:rsidRDefault="00F477D2" w:rsidP="00F477D2">
      <w:pPr>
        <w:pStyle w:val="ListParagraph"/>
        <w:numPr>
          <w:ilvl w:val="2"/>
          <w:numId w:val="15"/>
        </w:numPr>
      </w:pPr>
      <w:proofErr w:type="spellStart"/>
      <w:r>
        <w:t>Transcode</w:t>
      </w:r>
      <w:proofErr w:type="spellEnd"/>
      <w:r>
        <w:t xml:space="preserve"> to a 128kbps WMA file. </w:t>
      </w:r>
    </w:p>
    <w:p w:rsidR="00F477D2" w:rsidRDefault="00F477D2" w:rsidP="00F477D2">
      <w:pPr>
        <w:pStyle w:val="ListParagraph"/>
        <w:numPr>
          <w:ilvl w:val="1"/>
          <w:numId w:val="15"/>
        </w:numPr>
      </w:pPr>
      <w:r>
        <w:t>TranscodeProfileWMA_160k.xml</w:t>
      </w:r>
    </w:p>
    <w:p w:rsidR="00F477D2" w:rsidRDefault="00F477D2" w:rsidP="00F477D2">
      <w:pPr>
        <w:pStyle w:val="ListParagraph"/>
        <w:numPr>
          <w:ilvl w:val="2"/>
          <w:numId w:val="15"/>
        </w:numPr>
      </w:pPr>
      <w:proofErr w:type="spellStart"/>
      <w:r>
        <w:t>Transcode</w:t>
      </w:r>
      <w:proofErr w:type="spellEnd"/>
      <w:r>
        <w:t xml:space="preserve"> to a 160kbps WMA file. </w:t>
      </w:r>
    </w:p>
    <w:p w:rsidR="00F477D2" w:rsidRDefault="00F477D2" w:rsidP="00F477D2">
      <w:pPr>
        <w:pStyle w:val="ListParagraph"/>
        <w:numPr>
          <w:ilvl w:val="1"/>
          <w:numId w:val="15"/>
        </w:numPr>
      </w:pPr>
      <w:r>
        <w:t>TranscodeProfileWMA_196k.xml</w:t>
      </w:r>
    </w:p>
    <w:p w:rsidR="00F477D2" w:rsidRDefault="00F477D2" w:rsidP="00F477D2">
      <w:pPr>
        <w:pStyle w:val="ListParagraph"/>
        <w:numPr>
          <w:ilvl w:val="2"/>
          <w:numId w:val="15"/>
        </w:numPr>
      </w:pPr>
      <w:proofErr w:type="spellStart"/>
      <w:r>
        <w:t>Transcode</w:t>
      </w:r>
      <w:proofErr w:type="spellEnd"/>
      <w:r>
        <w:t xml:space="preserve"> to a 196kbps WMA file. </w:t>
      </w:r>
    </w:p>
    <w:p w:rsidR="0021531F" w:rsidRPr="0021531F" w:rsidRDefault="0021531F" w:rsidP="007B5927">
      <w:pPr>
        <w:rPr>
          <w:b/>
        </w:rPr>
      </w:pPr>
      <w:r w:rsidRPr="0021531F">
        <w:rPr>
          <w:b/>
        </w:rPr>
        <w:t xml:space="preserve">-t DURATION </w:t>
      </w:r>
    </w:p>
    <w:p w:rsidR="00FB2F6C" w:rsidRDefault="00682B14" w:rsidP="007034FD">
      <w:proofErr w:type="gramStart"/>
      <w:r>
        <w:t>Specif</w:t>
      </w:r>
      <w:r w:rsidR="00EB41A5">
        <w:t>ies a</w:t>
      </w:r>
      <w:r>
        <w:t xml:space="preserve"> stop time earlier than the end of file</w:t>
      </w:r>
      <w:r w:rsidR="00D4174C">
        <w:t>, in milliseconds</w:t>
      </w:r>
      <w:r>
        <w:t>.</w:t>
      </w:r>
      <w:proofErr w:type="gramEnd"/>
      <w:r>
        <w:t xml:space="preserve"> </w:t>
      </w:r>
      <w:r w:rsidR="00EB41A5">
        <w:t>U</w:t>
      </w:r>
      <w:r>
        <w:t>se</w:t>
      </w:r>
      <w:r w:rsidR="00EB41A5">
        <w:t xml:space="preserve"> this parameter</w:t>
      </w:r>
      <w:r>
        <w:t xml:space="preserve"> to </w:t>
      </w:r>
      <w:r w:rsidR="00A709B5">
        <w:t xml:space="preserve">get </w:t>
      </w:r>
      <w:r w:rsidR="00EB41A5">
        <w:t xml:space="preserve">a </w:t>
      </w:r>
      <w:r w:rsidR="00A709B5">
        <w:t xml:space="preserve">segment of the original file. </w:t>
      </w:r>
    </w:p>
    <w:p w:rsidR="00E15267" w:rsidRPr="004D5E05" w:rsidRDefault="00E15267" w:rsidP="00E15267">
      <w:pPr>
        <w:rPr>
          <w:b/>
        </w:rPr>
      </w:pPr>
      <w:r w:rsidRPr="004D5E05">
        <w:rPr>
          <w:b/>
        </w:rPr>
        <w:t>-</w:t>
      </w:r>
      <w:r w:rsidR="002922D4" w:rsidRPr="002922D4">
        <w:t xml:space="preserve"> </w:t>
      </w:r>
      <w:proofErr w:type="spellStart"/>
      <w:proofErr w:type="gramStart"/>
      <w:r w:rsidR="002922D4" w:rsidRPr="002922D4">
        <w:rPr>
          <w:b/>
        </w:rPr>
        <w:t>splitAudio</w:t>
      </w:r>
      <w:proofErr w:type="spellEnd"/>
      <w:proofErr w:type="gramEnd"/>
      <w:r w:rsidR="002922D4" w:rsidRPr="002922D4">
        <w:rPr>
          <w:b/>
        </w:rPr>
        <w:t xml:space="preserve"> CONTAINER</w:t>
      </w:r>
    </w:p>
    <w:p w:rsidR="000300C0" w:rsidRDefault="004E2D52" w:rsidP="0060338B">
      <w:proofErr w:type="gramStart"/>
      <w:r>
        <w:t>Split</w:t>
      </w:r>
      <w:r w:rsidR="00263D48">
        <w:t>s</w:t>
      </w:r>
      <w:r w:rsidR="00E15267">
        <w:t xml:space="preserve"> the audio stream </w:t>
      </w:r>
      <w:r w:rsidR="00263D48">
        <w:t>from</w:t>
      </w:r>
      <w:r w:rsidR="00E15267">
        <w:t xml:space="preserve"> the original file</w:t>
      </w:r>
      <w:r w:rsidR="00263D48">
        <w:t>,</w:t>
      </w:r>
      <w:r w:rsidR="00E15267">
        <w:t xml:space="preserve"> without re-</w:t>
      </w:r>
      <w:r w:rsidR="00263D48">
        <w:t>encoding</w:t>
      </w:r>
      <w:r w:rsidR="00E15267">
        <w:t>.</w:t>
      </w:r>
      <w:proofErr w:type="gramEnd"/>
      <w:r w:rsidR="00E15267">
        <w:t xml:space="preserve"> </w:t>
      </w:r>
    </w:p>
    <w:p w:rsidR="00E15267" w:rsidRPr="00E15267" w:rsidRDefault="00E15267" w:rsidP="0060338B">
      <w:pPr>
        <w:rPr>
          <w:b/>
        </w:rPr>
      </w:pPr>
      <w:r w:rsidRPr="00E15267">
        <w:rPr>
          <w:b/>
        </w:rPr>
        <w:t xml:space="preserve">- </w:t>
      </w:r>
      <w:proofErr w:type="spellStart"/>
      <w:proofErr w:type="gramStart"/>
      <w:r w:rsidR="00102113">
        <w:rPr>
          <w:b/>
        </w:rPr>
        <w:t>s</w:t>
      </w:r>
      <w:r w:rsidR="008D604D">
        <w:rPr>
          <w:b/>
        </w:rPr>
        <w:t>plitVideo</w:t>
      </w:r>
      <w:proofErr w:type="spellEnd"/>
      <w:proofErr w:type="gramEnd"/>
      <w:r w:rsidR="00987779">
        <w:rPr>
          <w:b/>
        </w:rPr>
        <w:t xml:space="preserve"> </w:t>
      </w:r>
      <w:r w:rsidR="000300C0">
        <w:rPr>
          <w:b/>
        </w:rPr>
        <w:t>CONTAINER</w:t>
      </w:r>
    </w:p>
    <w:p w:rsidR="000300C0" w:rsidRDefault="004E2D52" w:rsidP="0060338B">
      <w:proofErr w:type="gramStart"/>
      <w:r>
        <w:t>Split</w:t>
      </w:r>
      <w:r w:rsidR="00F11574">
        <w:t>s</w:t>
      </w:r>
      <w:r w:rsidR="00E15267">
        <w:t xml:space="preserve"> the video stream </w:t>
      </w:r>
      <w:r w:rsidR="00DC0A0E">
        <w:t>from</w:t>
      </w:r>
      <w:r w:rsidR="00E15267">
        <w:t xml:space="preserve"> the original file</w:t>
      </w:r>
      <w:r w:rsidR="00DC0A0E">
        <w:t>,</w:t>
      </w:r>
      <w:r w:rsidR="00E15267">
        <w:t xml:space="preserve"> without re-</w:t>
      </w:r>
      <w:r w:rsidR="00DC0A0E">
        <w:t>encoding</w:t>
      </w:r>
      <w:r w:rsidR="00E15267">
        <w:t>.</w:t>
      </w:r>
      <w:proofErr w:type="gramEnd"/>
      <w:r w:rsidR="00E15267">
        <w:t xml:space="preserve"> </w:t>
      </w:r>
    </w:p>
    <w:p w:rsidR="00102113" w:rsidRDefault="00102113" w:rsidP="0060338B">
      <w:pPr>
        <w:rPr>
          <w:b/>
        </w:rPr>
      </w:pPr>
      <w:r w:rsidRPr="00F11A89">
        <w:rPr>
          <w:b/>
        </w:rPr>
        <w:t>-</w:t>
      </w:r>
      <w:proofErr w:type="spellStart"/>
      <w:r w:rsidRPr="00F11A89">
        <w:rPr>
          <w:b/>
        </w:rPr>
        <w:t>remux</w:t>
      </w:r>
      <w:proofErr w:type="spellEnd"/>
      <w:r w:rsidRPr="00F11A89">
        <w:rPr>
          <w:b/>
        </w:rPr>
        <w:t xml:space="preserve"> </w:t>
      </w:r>
      <w:r w:rsidR="000300C0">
        <w:rPr>
          <w:b/>
        </w:rPr>
        <w:t>CONTAINER</w:t>
      </w:r>
    </w:p>
    <w:p w:rsidR="000300C0" w:rsidRDefault="000300C0" w:rsidP="0060338B">
      <w:proofErr w:type="spellStart"/>
      <w:proofErr w:type="gramStart"/>
      <w:r w:rsidRPr="000300C0">
        <w:t>Remux</w:t>
      </w:r>
      <w:proofErr w:type="spellEnd"/>
      <w:r w:rsidRPr="000300C0">
        <w:t xml:space="preserve"> the streams </w:t>
      </w:r>
      <w:r>
        <w:t>from the original file, without re-encoding.</w:t>
      </w:r>
      <w:proofErr w:type="gramEnd"/>
    </w:p>
    <w:p w:rsidR="000300C0" w:rsidRPr="007B5927" w:rsidRDefault="000300C0" w:rsidP="000300C0">
      <w:pPr>
        <w:rPr>
          <w:b/>
        </w:rPr>
      </w:pPr>
      <w:r w:rsidRPr="000300C0">
        <w:rPr>
          <w:b/>
        </w:rPr>
        <w:t>CONTAINER</w:t>
      </w:r>
      <w:r>
        <w:t xml:space="preserve"> specifies the file container type. Currently, the tool supports the following container name strings: </w:t>
      </w:r>
    </w:p>
    <w:p w:rsidR="000300C0" w:rsidRPr="007B5927" w:rsidRDefault="000300C0" w:rsidP="000300C0">
      <w:pPr>
        <w:pStyle w:val="ListParagraph"/>
        <w:numPr>
          <w:ilvl w:val="0"/>
          <w:numId w:val="9"/>
        </w:numPr>
        <w:rPr>
          <w:b/>
        </w:rPr>
      </w:pPr>
      <w:r>
        <w:t xml:space="preserve">“MPEG4” </w:t>
      </w:r>
    </w:p>
    <w:p w:rsidR="000300C0" w:rsidRPr="007B5927" w:rsidRDefault="000300C0" w:rsidP="000300C0">
      <w:pPr>
        <w:pStyle w:val="ListParagraph"/>
        <w:numPr>
          <w:ilvl w:val="0"/>
          <w:numId w:val="9"/>
        </w:numPr>
        <w:rPr>
          <w:b/>
        </w:rPr>
      </w:pPr>
      <w:r>
        <w:t xml:space="preserve">“ASF” </w:t>
      </w:r>
    </w:p>
    <w:p w:rsidR="000300C0" w:rsidRPr="0021531F" w:rsidRDefault="000300C0" w:rsidP="000300C0">
      <w:pPr>
        <w:pStyle w:val="ListParagraph"/>
        <w:numPr>
          <w:ilvl w:val="0"/>
          <w:numId w:val="9"/>
        </w:numPr>
        <w:rPr>
          <w:b/>
        </w:rPr>
      </w:pPr>
      <w:r>
        <w:t xml:space="preserve">“3GP” </w:t>
      </w:r>
    </w:p>
    <w:p w:rsidR="000300C0" w:rsidRPr="000300C0" w:rsidRDefault="000300C0" w:rsidP="000300C0">
      <w:pPr>
        <w:pStyle w:val="ListParagraph"/>
        <w:numPr>
          <w:ilvl w:val="0"/>
          <w:numId w:val="9"/>
        </w:numPr>
        <w:rPr>
          <w:b/>
        </w:rPr>
      </w:pPr>
      <w:r>
        <w:t>“MP3”</w:t>
      </w:r>
    </w:p>
    <w:p w:rsidR="000300C0" w:rsidRDefault="000300C0" w:rsidP="0060338B">
      <w:r>
        <w:lastRenderedPageBreak/>
        <w:t>It is highly recommend</w:t>
      </w:r>
      <w:r w:rsidR="00BD041A">
        <w:t>ed</w:t>
      </w:r>
      <w:r>
        <w:t xml:space="preserve"> keeping the same container type as the input file container for </w:t>
      </w:r>
      <w:proofErr w:type="spellStart"/>
      <w:r>
        <w:t>remuxing</w:t>
      </w:r>
      <w:proofErr w:type="spellEnd"/>
      <w:r>
        <w:t xml:space="preserve"> and splitting scenarios. For example, if</w:t>
      </w:r>
      <w:r w:rsidR="00A319BA">
        <w:t xml:space="preserve"> the input file </w:t>
      </w:r>
      <w:r w:rsidR="000A654B">
        <w:t>format is</w:t>
      </w:r>
      <w:r w:rsidR="00A319BA">
        <w:t xml:space="preserve"> ASF/WMV/WMA, “ASF” will be</w:t>
      </w:r>
      <w:r>
        <w:t xml:space="preserve"> the </w:t>
      </w:r>
      <w:r w:rsidR="00A319BA">
        <w:t>preferred CONTAINER name string</w:t>
      </w:r>
      <w:r>
        <w:t xml:space="preserve">. </w:t>
      </w:r>
    </w:p>
    <w:p w:rsidR="007034FD" w:rsidRDefault="007034FD" w:rsidP="0060338B">
      <w:r>
        <w:t>The following options are mutually exclusive: -p, -</w:t>
      </w:r>
      <w:proofErr w:type="spellStart"/>
      <w:r>
        <w:t>splitAudio</w:t>
      </w:r>
      <w:proofErr w:type="spellEnd"/>
      <w:r>
        <w:t>, -</w:t>
      </w:r>
      <w:proofErr w:type="spellStart"/>
      <w:r>
        <w:t>splitVideo</w:t>
      </w:r>
      <w:proofErr w:type="spellEnd"/>
      <w:r>
        <w:t>, -</w:t>
      </w:r>
      <w:proofErr w:type="spellStart"/>
      <w:r>
        <w:t>remux</w:t>
      </w:r>
      <w:proofErr w:type="spellEnd"/>
      <w:r>
        <w:t>.</w:t>
      </w:r>
      <w:r w:rsidR="000300C0">
        <w:t xml:space="preserve"> </w:t>
      </w:r>
    </w:p>
    <w:p w:rsidR="005303A1" w:rsidRDefault="005303A1" w:rsidP="0060338B"/>
    <w:p w:rsidR="002963C6" w:rsidRPr="007034FD" w:rsidRDefault="002963C6" w:rsidP="0060338B">
      <w:pPr>
        <w:rPr>
          <w:b/>
          <w:sz w:val="24"/>
          <w:szCs w:val="24"/>
        </w:rPr>
      </w:pPr>
      <w:r w:rsidRPr="007034FD">
        <w:rPr>
          <w:b/>
          <w:sz w:val="24"/>
          <w:szCs w:val="24"/>
        </w:rPr>
        <w:t>Example</w:t>
      </w:r>
      <w:r w:rsidR="001926C0" w:rsidRPr="007034FD">
        <w:rPr>
          <w:b/>
          <w:sz w:val="24"/>
          <w:szCs w:val="24"/>
        </w:rPr>
        <w:t>s</w:t>
      </w:r>
      <w:r w:rsidRPr="007034FD">
        <w:rPr>
          <w:b/>
          <w:sz w:val="24"/>
          <w:szCs w:val="24"/>
        </w:rPr>
        <w:t>:</w:t>
      </w:r>
    </w:p>
    <w:p w:rsidR="001C0CFE" w:rsidRDefault="009F61B2" w:rsidP="001C0CFE">
      <w:pPr>
        <w:pStyle w:val="ListParagraph"/>
        <w:numPr>
          <w:ilvl w:val="0"/>
          <w:numId w:val="22"/>
        </w:numPr>
      </w:pPr>
      <w:proofErr w:type="spellStart"/>
      <w:r>
        <w:t>Transcode</w:t>
      </w:r>
      <w:proofErr w:type="spellEnd"/>
      <w:r>
        <w:t xml:space="preserve"> ASF to MPEG</w:t>
      </w:r>
      <w:r w:rsidR="00420C31">
        <w:t>-</w:t>
      </w:r>
      <w:r>
        <w:t>4</w:t>
      </w:r>
      <w:r w:rsidR="001926C0">
        <w:t>:</w:t>
      </w:r>
    </w:p>
    <w:p w:rsidR="005E6AC3" w:rsidRDefault="005E6AC3" w:rsidP="005E6AC3">
      <w:pPr>
        <w:ind w:left="720" w:firstLine="720"/>
      </w:pPr>
      <w:r>
        <w:t>M</w:t>
      </w:r>
      <w:r w:rsidR="00590330">
        <w:t>FS</w:t>
      </w:r>
      <w:r>
        <w:t>impleencode.exe –</w:t>
      </w:r>
      <w:proofErr w:type="spellStart"/>
      <w:r>
        <w:t>i</w:t>
      </w:r>
      <w:proofErr w:type="spellEnd"/>
      <w:r>
        <w:t xml:space="preserve"> Input.wmv</w:t>
      </w:r>
      <w:r w:rsidR="007034FD">
        <w:t xml:space="preserve"> </w:t>
      </w:r>
      <w:r>
        <w:t>–o output.mp4</w:t>
      </w:r>
      <w:r w:rsidR="007034FD">
        <w:t xml:space="preserve"> –p TranscodeProfileMPEG4.xml</w:t>
      </w:r>
    </w:p>
    <w:p w:rsidR="009F61B2" w:rsidRDefault="009F61B2" w:rsidP="009F61B2">
      <w:pPr>
        <w:pStyle w:val="ListParagraph"/>
        <w:numPr>
          <w:ilvl w:val="0"/>
          <w:numId w:val="22"/>
        </w:numPr>
      </w:pPr>
      <w:proofErr w:type="spellStart"/>
      <w:r>
        <w:t>Transcode</w:t>
      </w:r>
      <w:proofErr w:type="spellEnd"/>
      <w:r>
        <w:t xml:space="preserve"> </w:t>
      </w:r>
      <w:r w:rsidR="00FB2F6C">
        <w:t>MPEG</w:t>
      </w:r>
      <w:r w:rsidR="00420C31">
        <w:t>-</w:t>
      </w:r>
      <w:r w:rsidR="00FB2F6C">
        <w:t>4 to ASF</w:t>
      </w:r>
      <w:r w:rsidR="001926C0">
        <w:t>:</w:t>
      </w:r>
    </w:p>
    <w:p w:rsidR="005E6AC3" w:rsidRDefault="00590330" w:rsidP="005E6AC3">
      <w:pPr>
        <w:ind w:left="720" w:firstLine="720"/>
      </w:pPr>
      <w:r>
        <w:t>MFSimpleencode</w:t>
      </w:r>
      <w:r w:rsidR="005E6AC3">
        <w:t>.exe –</w:t>
      </w:r>
      <w:proofErr w:type="spellStart"/>
      <w:r w:rsidR="005E6AC3">
        <w:t>i</w:t>
      </w:r>
      <w:proofErr w:type="spellEnd"/>
      <w:r w:rsidR="005E6AC3">
        <w:t xml:space="preserve"> input.mp4</w:t>
      </w:r>
      <w:r w:rsidR="00CD397F">
        <w:t xml:space="preserve"> </w:t>
      </w:r>
      <w:r w:rsidR="005E6AC3">
        <w:t>–o output.wmv</w:t>
      </w:r>
      <w:r w:rsidR="007034FD">
        <w:t xml:space="preserve"> –p TranscodeProfileASF.xml</w:t>
      </w:r>
    </w:p>
    <w:p w:rsidR="009F61B2" w:rsidRDefault="009F61B2" w:rsidP="009F61B2">
      <w:pPr>
        <w:pStyle w:val="ListParagraph"/>
        <w:numPr>
          <w:ilvl w:val="0"/>
          <w:numId w:val="22"/>
        </w:numPr>
      </w:pPr>
      <w:r>
        <w:t>Strip audio from ASF</w:t>
      </w:r>
      <w:r w:rsidR="001926C0">
        <w:t>:</w:t>
      </w:r>
      <w:r>
        <w:t xml:space="preserve"> </w:t>
      </w:r>
    </w:p>
    <w:p w:rsidR="005E6AC3" w:rsidRDefault="00590330" w:rsidP="005E6AC3">
      <w:pPr>
        <w:ind w:left="720" w:firstLine="720"/>
      </w:pPr>
      <w:r>
        <w:t>MFSimpleencode</w:t>
      </w:r>
      <w:r w:rsidR="007034FD">
        <w:t>.exe –</w:t>
      </w:r>
      <w:proofErr w:type="spellStart"/>
      <w:r w:rsidR="007034FD">
        <w:t>i</w:t>
      </w:r>
      <w:proofErr w:type="spellEnd"/>
      <w:r w:rsidR="007034FD">
        <w:t xml:space="preserve"> input.wmv </w:t>
      </w:r>
      <w:r w:rsidR="005E6AC3">
        <w:t>–o output.wma</w:t>
      </w:r>
      <w:r w:rsidR="007034FD">
        <w:t xml:space="preserve"> -</w:t>
      </w:r>
      <w:proofErr w:type="spellStart"/>
      <w:r w:rsidR="007034FD">
        <w:t>splitAudio</w:t>
      </w:r>
      <w:proofErr w:type="spellEnd"/>
      <w:r w:rsidR="007034FD">
        <w:t xml:space="preserve"> ASF</w:t>
      </w:r>
    </w:p>
    <w:p w:rsidR="009F61B2" w:rsidRDefault="00FB2F6C" w:rsidP="009F61B2">
      <w:pPr>
        <w:pStyle w:val="ListParagraph"/>
        <w:numPr>
          <w:ilvl w:val="0"/>
          <w:numId w:val="22"/>
        </w:numPr>
      </w:pPr>
      <w:r>
        <w:t>Strip video from MPEG</w:t>
      </w:r>
      <w:r w:rsidR="00836C96">
        <w:t>-</w:t>
      </w:r>
      <w:r>
        <w:t>4</w:t>
      </w:r>
      <w:r w:rsidR="001926C0">
        <w:t>:</w:t>
      </w:r>
    </w:p>
    <w:p w:rsidR="005E6AC3" w:rsidRDefault="00590330" w:rsidP="005E6AC3">
      <w:pPr>
        <w:pStyle w:val="ListParagraph"/>
        <w:ind w:firstLine="720"/>
      </w:pPr>
      <w:r>
        <w:t>MFSimpleencode</w:t>
      </w:r>
      <w:r w:rsidR="005E6AC3">
        <w:t>.exe –</w:t>
      </w:r>
      <w:proofErr w:type="spellStart"/>
      <w:r w:rsidR="005E6AC3">
        <w:t>i</w:t>
      </w:r>
      <w:proofErr w:type="spellEnd"/>
      <w:r w:rsidR="005E6AC3">
        <w:t xml:space="preserve"> input.mp4</w:t>
      </w:r>
      <w:r w:rsidR="007034FD">
        <w:t xml:space="preserve"> </w:t>
      </w:r>
      <w:r w:rsidR="005E6AC3">
        <w:t>–o output.mp4</w:t>
      </w:r>
      <w:r w:rsidR="007034FD">
        <w:t xml:space="preserve"> –</w:t>
      </w:r>
      <w:proofErr w:type="spellStart"/>
      <w:r w:rsidR="007034FD">
        <w:t>splitVideo</w:t>
      </w:r>
      <w:proofErr w:type="spellEnd"/>
      <w:r w:rsidR="007034FD">
        <w:t xml:space="preserve"> MPEG4</w:t>
      </w:r>
    </w:p>
    <w:p w:rsidR="005E6AC3" w:rsidRDefault="005E6AC3" w:rsidP="005E6AC3">
      <w:pPr>
        <w:pStyle w:val="ListParagraph"/>
      </w:pPr>
    </w:p>
    <w:p w:rsidR="005E6AC3" w:rsidRDefault="00FB2F6C" w:rsidP="00175919">
      <w:pPr>
        <w:pStyle w:val="ListParagraph"/>
        <w:numPr>
          <w:ilvl w:val="0"/>
          <w:numId w:val="22"/>
        </w:numPr>
      </w:pPr>
      <w:r>
        <w:t xml:space="preserve">Get </w:t>
      </w:r>
      <w:r w:rsidR="001926C0">
        <w:t xml:space="preserve">a </w:t>
      </w:r>
      <w:r w:rsidR="00D4174C">
        <w:t xml:space="preserve">2-second </w:t>
      </w:r>
      <w:r>
        <w:t xml:space="preserve">segment of </w:t>
      </w:r>
      <w:r w:rsidR="001926C0">
        <w:t xml:space="preserve">a </w:t>
      </w:r>
      <w:r>
        <w:t>WMA file</w:t>
      </w:r>
      <w:r w:rsidR="001926C0">
        <w:t>:</w:t>
      </w:r>
    </w:p>
    <w:p w:rsidR="00175919" w:rsidRDefault="00590330" w:rsidP="005E6AC3">
      <w:pPr>
        <w:ind w:left="720" w:firstLine="720"/>
      </w:pPr>
      <w:r>
        <w:t>MFSimpleencode</w:t>
      </w:r>
      <w:r w:rsidR="005E6AC3">
        <w:t>.exe -</w:t>
      </w:r>
      <w:proofErr w:type="spellStart"/>
      <w:r w:rsidR="005E6AC3">
        <w:t>i</w:t>
      </w:r>
      <w:proofErr w:type="spellEnd"/>
      <w:r w:rsidR="00FB2F6C">
        <w:t xml:space="preserve"> </w:t>
      </w:r>
      <w:r w:rsidR="00A319BA">
        <w:t>input.wma</w:t>
      </w:r>
      <w:r w:rsidR="005E6AC3">
        <w:t xml:space="preserve"> –o output.wma</w:t>
      </w:r>
      <w:r w:rsidR="007034FD">
        <w:t xml:space="preserve"> –</w:t>
      </w:r>
      <w:proofErr w:type="spellStart"/>
      <w:r w:rsidR="007034FD">
        <w:t>remux</w:t>
      </w:r>
      <w:proofErr w:type="spellEnd"/>
      <w:r w:rsidR="007034FD">
        <w:t xml:space="preserve"> ASF –t 2000</w:t>
      </w:r>
    </w:p>
    <w:p w:rsidR="005303A1" w:rsidRPr="005E6AC3" w:rsidRDefault="005303A1" w:rsidP="005303A1"/>
    <w:p w:rsidR="00175919" w:rsidRPr="001C0CFE" w:rsidRDefault="00175919" w:rsidP="00175919">
      <w:pPr>
        <w:rPr>
          <w:b/>
          <w:sz w:val="24"/>
          <w:szCs w:val="24"/>
        </w:rPr>
      </w:pPr>
      <w:r w:rsidRPr="001C0CFE">
        <w:rPr>
          <w:b/>
          <w:sz w:val="24"/>
          <w:szCs w:val="24"/>
        </w:rPr>
        <w:t>Limitations:</w:t>
      </w:r>
    </w:p>
    <w:p w:rsidR="00175919" w:rsidRDefault="00420C31" w:rsidP="007034FD">
      <w:pPr>
        <w:pStyle w:val="ListParagraph"/>
        <w:numPr>
          <w:ilvl w:val="0"/>
          <w:numId w:val="25"/>
        </w:numPr>
      </w:pPr>
      <w:r>
        <w:t xml:space="preserve">The Media Foundation </w:t>
      </w:r>
      <w:proofErr w:type="spellStart"/>
      <w:r w:rsidR="00175919">
        <w:t>transcode</w:t>
      </w:r>
      <w:proofErr w:type="spellEnd"/>
      <w:r w:rsidR="00175919">
        <w:t xml:space="preserve"> API supports </w:t>
      </w:r>
      <w:r>
        <w:t>a maximum of</w:t>
      </w:r>
      <w:r w:rsidR="00175919">
        <w:t xml:space="preserve"> </w:t>
      </w:r>
      <w:r>
        <w:t xml:space="preserve">one </w:t>
      </w:r>
      <w:r w:rsidR="00175919">
        <w:t xml:space="preserve">audio </w:t>
      </w:r>
      <w:r>
        <w:t xml:space="preserve">stream </w:t>
      </w:r>
      <w:r w:rsidR="00175919">
        <w:t xml:space="preserve">and </w:t>
      </w:r>
      <w:r>
        <w:t xml:space="preserve">one </w:t>
      </w:r>
      <w:r w:rsidR="00175919">
        <w:t>video stream</w:t>
      </w:r>
      <w:r>
        <w:t xml:space="preserve"> in the output file</w:t>
      </w:r>
      <w:r w:rsidR="00175919">
        <w:t xml:space="preserve">.  </w:t>
      </w:r>
    </w:p>
    <w:p w:rsidR="007034FD" w:rsidRDefault="007034FD" w:rsidP="007034FD">
      <w:pPr>
        <w:pStyle w:val="ListParagraph"/>
        <w:numPr>
          <w:ilvl w:val="0"/>
          <w:numId w:val="25"/>
        </w:numPr>
      </w:pPr>
      <w:r>
        <w:t>This too</w:t>
      </w:r>
      <w:r w:rsidR="00030504">
        <w:t xml:space="preserve">l does not support DRM </w:t>
      </w:r>
      <w:proofErr w:type="spellStart"/>
      <w:r w:rsidR="00030504">
        <w:t>transcoding</w:t>
      </w:r>
      <w:proofErr w:type="spellEnd"/>
      <w:r>
        <w:t xml:space="preserve">. </w:t>
      </w:r>
    </w:p>
    <w:p w:rsidR="00A319BA" w:rsidRPr="00A319BA" w:rsidRDefault="00A319BA" w:rsidP="00682B1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This tool cannot </w:t>
      </w:r>
      <w:proofErr w:type="spellStart"/>
      <w:r>
        <w:t>transcode</w:t>
      </w:r>
      <w:proofErr w:type="spellEnd"/>
      <w:r>
        <w:t xml:space="preserve"> to mp3 file format unless</w:t>
      </w:r>
      <w:r w:rsidR="00030504">
        <w:t xml:space="preserve"> a</w:t>
      </w:r>
      <w:r>
        <w:t xml:space="preserve"> 3</w:t>
      </w:r>
      <w:r w:rsidRPr="00A319BA">
        <w:rPr>
          <w:vertAlign w:val="superscript"/>
        </w:rPr>
        <w:t>rd</w:t>
      </w:r>
      <w:r>
        <w:t xml:space="preserve"> party mp3 encoder MFT is installed. </w:t>
      </w:r>
      <w:r w:rsidR="00340A7D">
        <w:t xml:space="preserve">This is </w:t>
      </w:r>
      <w:r w:rsidR="00340A7D" w:rsidRPr="00340A7D">
        <w:t>because the inbox mp3 encoder MFT is licensed for Microsoft applications only and will not work when loaded by 3</w:t>
      </w:r>
      <w:r w:rsidR="00340A7D" w:rsidRPr="00340A7D">
        <w:rPr>
          <w:vertAlign w:val="superscript"/>
        </w:rPr>
        <w:t>rd</w:t>
      </w:r>
      <w:r w:rsidR="00340A7D" w:rsidRPr="00340A7D">
        <w:t xml:space="preserve"> party applications.</w:t>
      </w:r>
    </w:p>
    <w:p w:rsidR="00A319BA" w:rsidRPr="005303A1" w:rsidRDefault="00A319BA" w:rsidP="00A319BA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t>Remuxing</w:t>
      </w:r>
      <w:proofErr w:type="spellEnd"/>
      <w:r>
        <w:t xml:space="preserve">/splitting to different containers </w:t>
      </w:r>
      <w:r w:rsidR="00030504">
        <w:t>might</w:t>
      </w:r>
      <w:r>
        <w:t xml:space="preserve"> fail due to </w:t>
      </w:r>
      <w:r w:rsidR="00030504">
        <w:t xml:space="preserve">the </w:t>
      </w:r>
      <w:r>
        <w:t xml:space="preserve">specific container requirements. </w:t>
      </w:r>
    </w:p>
    <w:p w:rsidR="005303A1" w:rsidRPr="005303A1" w:rsidRDefault="005303A1" w:rsidP="006360F6"/>
    <w:p w:rsidR="00733DEA" w:rsidRPr="00A319BA" w:rsidRDefault="00682B14" w:rsidP="00A319BA">
      <w:pPr>
        <w:rPr>
          <w:sz w:val="24"/>
          <w:szCs w:val="24"/>
        </w:rPr>
      </w:pPr>
      <w:r w:rsidRPr="00A319BA">
        <w:rPr>
          <w:b/>
          <w:sz w:val="24"/>
          <w:szCs w:val="24"/>
        </w:rPr>
        <w:t>Techniques:</w:t>
      </w:r>
      <w:r w:rsidRPr="00A319BA">
        <w:rPr>
          <w:sz w:val="24"/>
          <w:szCs w:val="24"/>
        </w:rPr>
        <w:t xml:space="preserve"> </w:t>
      </w:r>
    </w:p>
    <w:p w:rsidR="007D50D3" w:rsidRPr="005303A1" w:rsidRDefault="00CB51CE" w:rsidP="007D50D3">
      <w:proofErr w:type="spellStart"/>
      <w:r w:rsidRPr="005303A1">
        <w:rPr>
          <w:i/>
        </w:rPr>
        <w:t>Transcoding</w:t>
      </w:r>
      <w:proofErr w:type="spellEnd"/>
      <w:r w:rsidR="007D50D3" w:rsidRPr="005303A1">
        <w:t xml:space="preserve"> is convert</w:t>
      </w:r>
      <w:r w:rsidR="0042194D" w:rsidRPr="005303A1">
        <w:t>ing</w:t>
      </w:r>
      <w:r w:rsidR="007D50D3" w:rsidRPr="005303A1">
        <w:t xml:space="preserve"> </w:t>
      </w:r>
      <w:r w:rsidR="0042194D" w:rsidRPr="005303A1">
        <w:t xml:space="preserve">from </w:t>
      </w:r>
      <w:r w:rsidR="007D50D3" w:rsidRPr="005303A1">
        <w:t xml:space="preserve">one </w:t>
      </w:r>
      <w:r w:rsidR="0042194D" w:rsidRPr="005303A1">
        <w:t xml:space="preserve">media </w:t>
      </w:r>
      <w:r w:rsidR="007D50D3" w:rsidRPr="005303A1">
        <w:t>format to another. M</w:t>
      </w:r>
      <w:r w:rsidR="0042194D" w:rsidRPr="005303A1">
        <w:t xml:space="preserve">edia </w:t>
      </w:r>
      <w:r w:rsidR="007D50D3" w:rsidRPr="005303A1">
        <w:t>F</w:t>
      </w:r>
      <w:r w:rsidR="0042194D" w:rsidRPr="005303A1">
        <w:t>oundation</w:t>
      </w:r>
      <w:r w:rsidR="007D50D3" w:rsidRPr="005303A1">
        <w:t xml:space="preserve"> provides </w:t>
      </w:r>
      <w:r w:rsidR="0042194D" w:rsidRPr="005303A1">
        <w:t xml:space="preserve">three </w:t>
      </w:r>
      <w:r w:rsidR="007D50D3" w:rsidRPr="005303A1">
        <w:t xml:space="preserve">ways to </w:t>
      </w:r>
      <w:r w:rsidR="0042194D" w:rsidRPr="005303A1">
        <w:t>perform</w:t>
      </w:r>
      <w:r w:rsidR="007D50D3" w:rsidRPr="005303A1">
        <w:t xml:space="preserve"> </w:t>
      </w:r>
      <w:proofErr w:type="spellStart"/>
      <w:r w:rsidR="007D50D3" w:rsidRPr="005303A1">
        <w:t>transcod</w:t>
      </w:r>
      <w:r w:rsidR="0042194D" w:rsidRPr="005303A1">
        <w:t>ing</w:t>
      </w:r>
      <w:proofErr w:type="spellEnd"/>
      <w:r w:rsidR="0042194D" w:rsidRPr="005303A1">
        <w:t>:</w:t>
      </w:r>
      <w:r w:rsidR="007D50D3" w:rsidRPr="005303A1">
        <w:t xml:space="preserve"> </w:t>
      </w:r>
    </w:p>
    <w:p w:rsidR="001F279B" w:rsidRPr="005303A1" w:rsidRDefault="001F279B" w:rsidP="007D50D3">
      <w:pPr>
        <w:numPr>
          <w:ilvl w:val="0"/>
          <w:numId w:val="26"/>
        </w:numPr>
      </w:pPr>
      <w:r w:rsidRPr="005303A1">
        <w:lastRenderedPageBreak/>
        <w:t xml:space="preserve">Configure </w:t>
      </w:r>
      <w:r w:rsidR="0042194D" w:rsidRPr="005303A1">
        <w:t xml:space="preserve">the </w:t>
      </w:r>
      <w:r w:rsidRPr="005303A1">
        <w:t>M</w:t>
      </w:r>
      <w:r w:rsidR="0042194D" w:rsidRPr="005303A1">
        <w:t xml:space="preserve">edia </w:t>
      </w:r>
      <w:r w:rsidRPr="005303A1">
        <w:t>F</w:t>
      </w:r>
      <w:r w:rsidR="0042194D" w:rsidRPr="005303A1">
        <w:t>oundation</w:t>
      </w:r>
      <w:r w:rsidRPr="005303A1">
        <w:t xml:space="preserve"> </w:t>
      </w:r>
      <w:hyperlink r:id="rId8" w:history="1">
        <w:r w:rsidR="00304C7C" w:rsidRPr="003D224C">
          <w:rPr>
            <w:rStyle w:val="Hyperlink"/>
          </w:rPr>
          <w:t>media session</w:t>
        </w:r>
      </w:hyperlink>
      <w:r w:rsidR="00304C7C" w:rsidRPr="005303A1">
        <w:t xml:space="preserve"> </w:t>
      </w:r>
      <w:r w:rsidRPr="005303A1">
        <w:t>directly</w:t>
      </w:r>
      <w:r w:rsidR="0042194D" w:rsidRPr="005303A1">
        <w:t>.</w:t>
      </w:r>
      <w:r w:rsidRPr="005303A1">
        <w:t xml:space="preserve"> </w:t>
      </w:r>
    </w:p>
    <w:p w:rsidR="001F279B" w:rsidRPr="005303A1" w:rsidRDefault="001F279B" w:rsidP="007D50D3">
      <w:pPr>
        <w:numPr>
          <w:ilvl w:val="0"/>
          <w:numId w:val="26"/>
        </w:numPr>
      </w:pPr>
      <w:r w:rsidRPr="005303A1">
        <w:t xml:space="preserve">Use </w:t>
      </w:r>
      <w:r w:rsidR="0042194D" w:rsidRPr="005303A1">
        <w:t xml:space="preserve">the </w:t>
      </w:r>
      <w:r w:rsidRPr="005303A1">
        <w:t xml:space="preserve">higher level </w:t>
      </w:r>
      <w:proofErr w:type="spellStart"/>
      <w:r w:rsidRPr="0080011B">
        <w:t>transcode</w:t>
      </w:r>
      <w:proofErr w:type="spellEnd"/>
      <w:r w:rsidRPr="0080011B">
        <w:t xml:space="preserve"> API</w:t>
      </w:r>
      <w:r w:rsidRPr="005303A1">
        <w:t xml:space="preserve"> to configure the </w:t>
      </w:r>
      <w:r w:rsidR="00AE5CE7" w:rsidRPr="005303A1">
        <w:t>media session</w:t>
      </w:r>
      <w:r w:rsidR="0042194D" w:rsidRPr="005303A1">
        <w:t>.</w:t>
      </w:r>
      <w:r w:rsidRPr="005303A1">
        <w:t xml:space="preserve"> </w:t>
      </w:r>
    </w:p>
    <w:p w:rsidR="001F279B" w:rsidRPr="005303A1" w:rsidRDefault="001F279B" w:rsidP="007D50D3">
      <w:pPr>
        <w:numPr>
          <w:ilvl w:val="0"/>
          <w:numId w:val="26"/>
        </w:numPr>
      </w:pPr>
      <w:r w:rsidRPr="005303A1">
        <w:t xml:space="preserve">Use </w:t>
      </w:r>
      <w:hyperlink r:id="rId9" w:history="1">
        <w:r w:rsidRPr="003D224C">
          <w:rPr>
            <w:rStyle w:val="Hyperlink"/>
          </w:rPr>
          <w:t>source reader</w:t>
        </w:r>
      </w:hyperlink>
      <w:r w:rsidR="0042194D" w:rsidRPr="005303A1">
        <w:t xml:space="preserve"> and </w:t>
      </w:r>
      <w:hyperlink r:id="rId10" w:history="1">
        <w:r w:rsidRPr="003D224C">
          <w:rPr>
            <w:rStyle w:val="Hyperlink"/>
          </w:rPr>
          <w:t>sink writer</w:t>
        </w:r>
      </w:hyperlink>
      <w:r w:rsidR="0042194D" w:rsidRPr="005303A1">
        <w:t>.</w:t>
      </w:r>
    </w:p>
    <w:p w:rsidR="006E0D3C" w:rsidRDefault="007D50D3" w:rsidP="006E0D3C">
      <w:pPr>
        <w:keepNext/>
        <w:ind w:left="360"/>
      </w:pPr>
      <w:r w:rsidRPr="005303A1">
        <w:rPr>
          <w:noProof/>
        </w:rPr>
        <w:drawing>
          <wp:inline distT="0" distB="0" distL="0" distR="0">
            <wp:extent cx="5297488" cy="3124200"/>
            <wp:effectExtent l="1905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97488" cy="3124200"/>
                      <a:chOff x="1600200" y="3122613"/>
                      <a:chExt cx="5297488" cy="3124200"/>
                    </a:xfrm>
                  </a:grpSpPr>
                  <a:sp>
                    <a:nvSpPr>
                      <a:cNvPr id="4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2706688" y="4113213"/>
                        <a:ext cx="2133600" cy="4572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25400" algn="ctr">
                        <a:solidFill>
                          <a:srgbClr val="08509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800" dirty="0" err="1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</a:rPr>
                            <a:t>Transcode</a:t>
                          </a:r>
                          <a:r>
                            <a:rPr lang="en-US" sz="1800" dirty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</a:rPr>
                            <a:t> API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676400" y="5789613"/>
                        <a:ext cx="5145088" cy="4572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800" dirty="0"/>
                            <a:t>Media Foundation Platform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639888" y="4951413"/>
                        <a:ext cx="3200400" cy="457200"/>
                      </a:xfrm>
                      <a:prstGeom prst="rect">
                        <a:avLst/>
                      </a:prstGeom>
                      <a:solidFill>
                        <a:schemeClr val="hlink"/>
                      </a:solidFill>
                      <a:ln w="25400" algn="ctr">
                        <a:solidFill>
                          <a:srgbClr val="08509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800" dirty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</a:rPr>
                            <a:t>MF Media Session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7" name="Straight Arrow Connector 6"/>
                      <a:cNvCxnSpPr/>
                    </a:nvCxnSpPr>
                    <a:spPr>
                      <a:xfrm rot="5400000">
                        <a:off x="3659188" y="4760912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Arrow Connector 7"/>
                      <a:cNvCxnSpPr/>
                    </a:nvCxnSpPr>
                    <a:spPr>
                      <a:xfrm rot="5400000">
                        <a:off x="2592388" y="5599112"/>
                        <a:ext cx="381000" cy="31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2706688" y="3122613"/>
                        <a:ext cx="2286000" cy="533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25400" algn="ctr">
                        <a:solidFill>
                          <a:srgbClr val="08509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800" dirty="0">
                              <a:solidFill>
                                <a:srgbClr val="FFFFFF"/>
                              </a:solidFill>
                              <a:latin typeface="Constantia" pitchFamily="18" charset="0"/>
                              <a:ea typeface="+mn-ea"/>
                            </a:rPr>
                            <a:t>App 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0" name="Straight Arrow Connector 9"/>
                      <a:cNvCxnSpPr>
                        <a:stCxn id="9" idx="2"/>
                      </a:cNvCxnSpPr>
                    </a:nvCxnSpPr>
                    <a:spPr>
                      <a:xfrm rot="5400000">
                        <a:off x="3621088" y="3884612"/>
                        <a:ext cx="457200" cy="31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5145088" y="3122613"/>
                        <a:ext cx="1447800" cy="53340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25400" algn="ctr">
                        <a:solidFill>
                          <a:srgbClr val="08509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800" dirty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</a:rPr>
                            <a:t>App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4916488" y="4113213"/>
                        <a:ext cx="990600" cy="91440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25400" algn="ctr">
                        <a:solidFill>
                          <a:srgbClr val="08509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800" dirty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</a:rPr>
                            <a:t>Source Reader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5983288" y="4113213"/>
                        <a:ext cx="914400" cy="91440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25400" algn="ctr">
                        <a:solidFill>
                          <a:srgbClr val="08509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800" dirty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</a:rPr>
                            <a:t>Sink Writer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4" name="Straight Arrow Connector 13"/>
                      <a:cNvCxnSpPr/>
                    </a:nvCxnSpPr>
                    <a:spPr>
                      <a:xfrm rot="5400000">
                        <a:off x="5145088" y="3884612"/>
                        <a:ext cx="457200" cy="31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/>
                    </a:nvCxnSpPr>
                    <a:spPr>
                      <a:xfrm rot="5400000">
                        <a:off x="6060282" y="3883819"/>
                        <a:ext cx="457200" cy="158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/>
                    </a:nvCxnSpPr>
                    <a:spPr>
                      <a:xfrm rot="5400000">
                        <a:off x="5984082" y="5407819"/>
                        <a:ext cx="762000" cy="158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1600200" y="3122613"/>
                        <a:ext cx="990600" cy="533400"/>
                      </a:xfrm>
                      <a:prstGeom prst="rect">
                        <a:avLst/>
                      </a:prstGeom>
                      <a:solidFill>
                        <a:schemeClr val="hlink"/>
                      </a:solidFill>
                      <a:ln w="25400" algn="ctr">
                        <a:solidFill>
                          <a:srgbClr val="08509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800" dirty="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</a:rPr>
                            <a:t>App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8" name="Straight Arrow Connector 17"/>
                      <a:cNvCxnSpPr/>
                    </a:nvCxnSpPr>
                    <a:spPr>
                      <a:xfrm rot="5400000">
                        <a:off x="1373188" y="4303712"/>
                        <a:ext cx="1295400" cy="31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12" idx="2"/>
                      </a:cNvCxnSpPr>
                    </a:nvCxnSpPr>
                    <a:spPr>
                      <a:xfrm rot="5400000">
                        <a:off x="5030788" y="5408612"/>
                        <a:ext cx="762000" cy="31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D50D3" w:rsidRPr="005303A1" w:rsidRDefault="006E0D3C" w:rsidP="006E0D3C">
      <w:pPr>
        <w:pStyle w:val="Caption"/>
        <w:ind w:left="2160" w:firstLine="720"/>
      </w:pPr>
      <w:proofErr w:type="gramStart"/>
      <w:r>
        <w:t xml:space="preserve">Figure </w:t>
      </w:r>
      <w:r w:rsidR="00F7349E">
        <w:fldChar w:fldCharType="begin"/>
      </w:r>
      <w:r w:rsidR="005010D0">
        <w:instrText xml:space="preserve"> SEQ Figure \* ARABIC </w:instrText>
      </w:r>
      <w:r w:rsidR="00F7349E">
        <w:fldChar w:fldCharType="separate"/>
      </w:r>
      <w:r>
        <w:rPr>
          <w:noProof/>
        </w:rPr>
        <w:t>1</w:t>
      </w:r>
      <w:r w:rsidR="00F7349E">
        <w:fldChar w:fldCharType="end"/>
      </w:r>
      <w:r>
        <w:t>.</w:t>
      </w:r>
      <w:proofErr w:type="gramEnd"/>
      <w:r>
        <w:t xml:space="preserve"> Three ways to perform </w:t>
      </w:r>
      <w:proofErr w:type="spellStart"/>
      <w:r>
        <w:t>transcoding</w:t>
      </w:r>
      <w:proofErr w:type="spellEnd"/>
    </w:p>
    <w:p w:rsidR="00C4152D" w:rsidRPr="005303A1" w:rsidRDefault="00C4152D" w:rsidP="00C4152D">
      <w:r w:rsidRPr="005303A1">
        <w:t xml:space="preserve">Configuring </w:t>
      </w:r>
      <w:r w:rsidR="00024DE5" w:rsidRPr="005303A1">
        <w:t xml:space="preserve">the </w:t>
      </w:r>
      <w:r w:rsidR="009B44F7" w:rsidRPr="005303A1">
        <w:t>media session</w:t>
      </w:r>
      <w:r w:rsidRPr="005303A1">
        <w:t xml:space="preserve"> directly is not </w:t>
      </w:r>
      <w:r w:rsidR="00BF1146">
        <w:t>straightforward</w:t>
      </w:r>
      <w:r w:rsidR="00024DE5" w:rsidRPr="005303A1">
        <w:t>. F</w:t>
      </w:r>
      <w:r w:rsidRPr="005303A1">
        <w:t xml:space="preserve">or example, you </w:t>
      </w:r>
      <w:r w:rsidR="00024DE5" w:rsidRPr="005303A1">
        <w:t>must</w:t>
      </w:r>
      <w:r w:rsidRPr="005303A1">
        <w:t xml:space="preserve"> understand the different </w:t>
      </w:r>
      <w:r w:rsidR="006D30A3" w:rsidRPr="005303A1">
        <w:t>encoders</w:t>
      </w:r>
      <w:r w:rsidRPr="005303A1">
        <w:t xml:space="preserve"> and media sinks to configure them properly. </w:t>
      </w:r>
      <w:r w:rsidR="00024DE5" w:rsidRPr="005303A1">
        <w:t xml:space="preserve">The </w:t>
      </w:r>
      <w:proofErr w:type="spellStart"/>
      <w:r w:rsidRPr="005303A1">
        <w:t>transcode</w:t>
      </w:r>
      <w:proofErr w:type="spellEnd"/>
      <w:r w:rsidRPr="005303A1">
        <w:t xml:space="preserve"> API provide</w:t>
      </w:r>
      <w:r w:rsidR="00024DE5" w:rsidRPr="005303A1">
        <w:t>s</w:t>
      </w:r>
      <w:r w:rsidRPr="005303A1">
        <w:t xml:space="preserve"> a set of functions </w:t>
      </w:r>
      <w:r w:rsidR="00024DE5" w:rsidRPr="005303A1">
        <w:t>that make</w:t>
      </w:r>
      <w:r w:rsidR="00C670AE">
        <w:t>s</w:t>
      </w:r>
      <w:r w:rsidR="00024DE5" w:rsidRPr="005303A1">
        <w:t xml:space="preserve"> it easier to </w:t>
      </w:r>
      <w:r w:rsidRPr="005303A1">
        <w:t xml:space="preserve">build </w:t>
      </w:r>
      <w:r w:rsidR="00024DE5" w:rsidRPr="005303A1">
        <w:t xml:space="preserve">a </w:t>
      </w:r>
      <w:proofErr w:type="spellStart"/>
      <w:r w:rsidRPr="005303A1">
        <w:t>transcode</w:t>
      </w:r>
      <w:proofErr w:type="spellEnd"/>
      <w:r w:rsidRPr="005303A1">
        <w:t xml:space="preserve"> pipeline. It provides </w:t>
      </w:r>
      <w:r w:rsidR="006D30A3" w:rsidRPr="005303A1">
        <w:t xml:space="preserve">a </w:t>
      </w:r>
      <w:r w:rsidRPr="005303A1">
        <w:t xml:space="preserve">simple profile to configure different </w:t>
      </w:r>
      <w:r w:rsidR="006D30A3" w:rsidRPr="005303A1">
        <w:t>encoders</w:t>
      </w:r>
      <w:r w:rsidRPr="005303A1">
        <w:t xml:space="preserve"> and </w:t>
      </w:r>
      <w:r w:rsidR="006D30A3" w:rsidRPr="005303A1">
        <w:t xml:space="preserve">sinks </w:t>
      </w:r>
      <w:r w:rsidR="00E4784D">
        <w:t xml:space="preserve">in the </w:t>
      </w:r>
      <w:r w:rsidRPr="005303A1">
        <w:t>same way</w:t>
      </w:r>
      <w:r w:rsidR="006D30A3" w:rsidRPr="005303A1">
        <w:t xml:space="preserve">, and it </w:t>
      </w:r>
      <w:r w:rsidRPr="005303A1">
        <w:t>automatically transfers metadata from t</w:t>
      </w:r>
      <w:bookmarkStart w:id="0" w:name="_GoBack"/>
      <w:bookmarkEnd w:id="0"/>
      <w:r w:rsidRPr="005303A1">
        <w:t xml:space="preserve">he source file to the </w:t>
      </w:r>
      <w:proofErr w:type="spellStart"/>
      <w:r w:rsidRPr="005303A1">
        <w:t>transcoded</w:t>
      </w:r>
      <w:proofErr w:type="spellEnd"/>
      <w:r w:rsidRPr="005303A1">
        <w:t xml:space="preserve"> file. </w:t>
      </w:r>
    </w:p>
    <w:p w:rsidR="00C4152D" w:rsidRPr="005303A1" w:rsidRDefault="00C4152D" w:rsidP="00C4152D">
      <w:r w:rsidRPr="005303A1">
        <w:t xml:space="preserve">Here is how to use </w:t>
      </w:r>
      <w:r w:rsidR="006D30A3" w:rsidRPr="005303A1">
        <w:t xml:space="preserve">the </w:t>
      </w:r>
      <w:proofErr w:type="spellStart"/>
      <w:r w:rsidRPr="003D224C">
        <w:t>transcode</w:t>
      </w:r>
      <w:proofErr w:type="spellEnd"/>
      <w:r w:rsidRPr="003D224C">
        <w:t xml:space="preserve"> API</w:t>
      </w:r>
      <w:r w:rsidR="006D30A3" w:rsidRPr="005303A1">
        <w:t xml:space="preserve">: </w:t>
      </w:r>
    </w:p>
    <w:p w:rsidR="00C4152D" w:rsidRPr="005303A1" w:rsidRDefault="00C4152D" w:rsidP="00C4152D">
      <w:pPr>
        <w:numPr>
          <w:ilvl w:val="0"/>
          <w:numId w:val="28"/>
        </w:numPr>
      </w:pPr>
      <w:r w:rsidRPr="005303A1">
        <w:t xml:space="preserve">Create </w:t>
      </w:r>
      <w:r w:rsidR="00D576DB" w:rsidRPr="005303A1">
        <w:t xml:space="preserve">a </w:t>
      </w:r>
      <w:hyperlink r:id="rId11" w:history="1">
        <w:r w:rsidRPr="003D224C">
          <w:rPr>
            <w:rStyle w:val="Hyperlink"/>
          </w:rPr>
          <w:t>media source</w:t>
        </w:r>
      </w:hyperlink>
      <w:r w:rsidRPr="005303A1">
        <w:t xml:space="preserve"> from </w:t>
      </w:r>
      <w:r w:rsidR="00D576DB" w:rsidRPr="005303A1">
        <w:t xml:space="preserve">a </w:t>
      </w:r>
      <w:r w:rsidRPr="005303A1">
        <w:t xml:space="preserve">URL or </w:t>
      </w:r>
      <w:hyperlink r:id="rId12" w:history="1">
        <w:proofErr w:type="spellStart"/>
        <w:r w:rsidRPr="003D224C">
          <w:rPr>
            <w:rStyle w:val="Hyperlink"/>
          </w:rPr>
          <w:t>bytestream</w:t>
        </w:r>
        <w:proofErr w:type="spellEnd"/>
      </w:hyperlink>
      <w:r w:rsidR="003D224C">
        <w:t xml:space="preserve"> </w:t>
      </w:r>
      <w:r w:rsidR="004B5655">
        <w:t>via</w:t>
      </w:r>
      <w:r w:rsidR="003D224C">
        <w:t xml:space="preserve"> </w:t>
      </w:r>
      <w:hyperlink r:id="rId13" w:history="1">
        <w:r w:rsidR="003D224C" w:rsidRPr="003D224C">
          <w:rPr>
            <w:rStyle w:val="Hyperlink"/>
          </w:rPr>
          <w:t>source resolver</w:t>
        </w:r>
      </w:hyperlink>
      <w:r w:rsidR="00D576DB" w:rsidRPr="005303A1">
        <w:t>.</w:t>
      </w:r>
      <w:r w:rsidRPr="005303A1">
        <w:t xml:space="preserve"> </w:t>
      </w:r>
    </w:p>
    <w:p w:rsidR="00C4152D" w:rsidRPr="005303A1" w:rsidRDefault="00D576DB" w:rsidP="00C4152D">
      <w:pPr>
        <w:numPr>
          <w:ilvl w:val="0"/>
          <w:numId w:val="28"/>
        </w:numPr>
      </w:pPr>
      <w:r w:rsidRPr="005303A1">
        <w:t xml:space="preserve">Call </w:t>
      </w:r>
      <w:hyperlink r:id="rId14" w:history="1">
        <w:proofErr w:type="spellStart"/>
        <w:r w:rsidRPr="003D224C">
          <w:rPr>
            <w:rStyle w:val="Hyperlink"/>
            <w:rFonts w:hint="eastAsia"/>
          </w:rPr>
          <w:t>MFCreateTranscodeProfile</w:t>
        </w:r>
        <w:proofErr w:type="spellEnd"/>
      </w:hyperlink>
      <w:r w:rsidRPr="005303A1">
        <w:t xml:space="preserve"> to create </w:t>
      </w:r>
      <w:r w:rsidR="00C4152D" w:rsidRPr="005303A1">
        <w:t xml:space="preserve">a </w:t>
      </w:r>
      <w:proofErr w:type="spellStart"/>
      <w:r w:rsidR="00C4152D" w:rsidRPr="005303A1">
        <w:t>transcode</w:t>
      </w:r>
      <w:proofErr w:type="spellEnd"/>
      <w:r w:rsidR="00C4152D" w:rsidRPr="005303A1">
        <w:t xml:space="preserve"> profile with output settings</w:t>
      </w:r>
      <w:r w:rsidRPr="005303A1">
        <w:t>.</w:t>
      </w:r>
    </w:p>
    <w:p w:rsidR="00C4152D" w:rsidRPr="005303A1" w:rsidRDefault="00D576DB" w:rsidP="00C4152D">
      <w:pPr>
        <w:numPr>
          <w:ilvl w:val="0"/>
          <w:numId w:val="28"/>
        </w:numPr>
      </w:pPr>
      <w:r w:rsidRPr="005303A1">
        <w:t xml:space="preserve">Call </w:t>
      </w:r>
      <w:hyperlink r:id="rId15" w:history="1">
        <w:proofErr w:type="spellStart"/>
        <w:r w:rsidRPr="003D224C">
          <w:rPr>
            <w:rStyle w:val="Hyperlink"/>
            <w:rFonts w:hint="eastAsia"/>
          </w:rPr>
          <w:t>MFCreateTranscodeTopology</w:t>
        </w:r>
        <w:proofErr w:type="spellEnd"/>
      </w:hyperlink>
      <w:r w:rsidRPr="005303A1">
        <w:t xml:space="preserve"> to create a </w:t>
      </w:r>
      <w:proofErr w:type="spellStart"/>
      <w:r w:rsidRPr="005303A1">
        <w:t>t</w:t>
      </w:r>
      <w:r w:rsidR="00C4152D" w:rsidRPr="005303A1">
        <w:t>ranscode</w:t>
      </w:r>
      <w:proofErr w:type="spellEnd"/>
      <w:r w:rsidR="00C4152D" w:rsidRPr="005303A1">
        <w:t xml:space="preserve"> </w:t>
      </w:r>
      <w:r w:rsidRPr="005303A1">
        <w:t>topology.</w:t>
      </w:r>
    </w:p>
    <w:p w:rsidR="00C4152D" w:rsidRPr="005303A1" w:rsidRDefault="00C4152D" w:rsidP="00C4152D">
      <w:pPr>
        <w:numPr>
          <w:ilvl w:val="0"/>
          <w:numId w:val="28"/>
        </w:numPr>
      </w:pPr>
      <w:r w:rsidRPr="005303A1">
        <w:t xml:space="preserve">Set the </w:t>
      </w:r>
      <w:proofErr w:type="spellStart"/>
      <w:r w:rsidR="00D576DB" w:rsidRPr="005303A1">
        <w:t>transcode</w:t>
      </w:r>
      <w:proofErr w:type="spellEnd"/>
      <w:r w:rsidR="00D576DB" w:rsidRPr="005303A1">
        <w:t xml:space="preserve"> </w:t>
      </w:r>
      <w:hyperlink r:id="rId16" w:history="1">
        <w:r w:rsidRPr="003D224C">
          <w:rPr>
            <w:rStyle w:val="Hyperlink"/>
          </w:rPr>
          <w:t>topology</w:t>
        </w:r>
      </w:hyperlink>
      <w:r w:rsidRPr="005303A1">
        <w:t xml:space="preserve"> </w:t>
      </w:r>
      <w:r w:rsidR="00D576DB" w:rsidRPr="005303A1">
        <w:t xml:space="preserve">on </w:t>
      </w:r>
      <w:r w:rsidRPr="005303A1">
        <w:t xml:space="preserve">the </w:t>
      </w:r>
      <w:r w:rsidRPr="0080011B">
        <w:t>media session</w:t>
      </w:r>
      <w:r w:rsidR="00D576DB" w:rsidRPr="005303A1">
        <w:t>.</w:t>
      </w:r>
    </w:p>
    <w:p w:rsidR="00C4152D" w:rsidRPr="005303A1" w:rsidRDefault="00D576DB" w:rsidP="00C4152D">
      <w:pPr>
        <w:numPr>
          <w:ilvl w:val="0"/>
          <w:numId w:val="28"/>
        </w:numPr>
      </w:pPr>
      <w:r w:rsidRPr="005303A1">
        <w:t xml:space="preserve">Start the </w:t>
      </w:r>
      <w:proofErr w:type="spellStart"/>
      <w:r w:rsidR="00C4152D" w:rsidRPr="005303A1">
        <w:t>transcode</w:t>
      </w:r>
      <w:proofErr w:type="spellEnd"/>
      <w:r w:rsidR="00C4152D" w:rsidRPr="005303A1">
        <w:t xml:space="preserve"> </w:t>
      </w:r>
      <w:r w:rsidRPr="005303A1">
        <w:t xml:space="preserve">session by calling Start on the </w:t>
      </w:r>
      <w:r w:rsidR="00C4152D" w:rsidRPr="005303A1">
        <w:t xml:space="preserve">media session </w:t>
      </w:r>
      <w:r w:rsidRPr="005303A1">
        <w:t xml:space="preserve">and wait for </w:t>
      </w:r>
      <w:r w:rsidR="00F664B2">
        <w:t xml:space="preserve">the session to fire the </w:t>
      </w:r>
      <w:hyperlink r:id="rId17" w:history="1">
        <w:proofErr w:type="spellStart"/>
        <w:r w:rsidR="00F664B2" w:rsidRPr="003D224C">
          <w:rPr>
            <w:rStyle w:val="Hyperlink"/>
          </w:rPr>
          <w:t>MESessionEnded</w:t>
        </w:r>
        <w:proofErr w:type="spellEnd"/>
      </w:hyperlink>
      <w:r w:rsidR="00F664B2">
        <w:t xml:space="preserve"> event</w:t>
      </w:r>
      <w:r w:rsidRPr="005303A1">
        <w:t>.</w:t>
      </w:r>
    </w:p>
    <w:p w:rsidR="007D50D3" w:rsidRPr="005303A1" w:rsidRDefault="00D576DB" w:rsidP="007D50D3">
      <w:r w:rsidRPr="005303A1">
        <w:t xml:space="preserve">The </w:t>
      </w:r>
      <w:proofErr w:type="spellStart"/>
      <w:r w:rsidRPr="005303A1">
        <w:t>transcode</w:t>
      </w:r>
      <w:proofErr w:type="spellEnd"/>
      <w:r w:rsidRPr="005303A1">
        <w:t xml:space="preserve"> </w:t>
      </w:r>
      <w:r w:rsidR="007D50D3" w:rsidRPr="005303A1">
        <w:t xml:space="preserve">API </w:t>
      </w:r>
      <w:r w:rsidR="00C4152D" w:rsidRPr="005303A1">
        <w:t>is</w:t>
      </w:r>
      <w:r w:rsidR="007D50D3" w:rsidRPr="005303A1">
        <w:t xml:space="preserve"> </w:t>
      </w:r>
      <w:r w:rsidR="00C4152D" w:rsidRPr="005303A1">
        <w:t xml:space="preserve">based on </w:t>
      </w:r>
      <w:r w:rsidRPr="005303A1">
        <w:t xml:space="preserve">the </w:t>
      </w:r>
      <w:r w:rsidR="007D50D3" w:rsidRPr="005303A1">
        <w:t>media session</w:t>
      </w:r>
      <w:r w:rsidR="00C4152D" w:rsidRPr="005303A1">
        <w:t>, so you don’t need to manipulate the samples yourself</w:t>
      </w:r>
      <w:r w:rsidRPr="005303A1">
        <w:t>, or</w:t>
      </w:r>
      <w:r w:rsidR="00C4152D" w:rsidRPr="005303A1">
        <w:t xml:space="preserve"> understand </w:t>
      </w:r>
      <w:r w:rsidRPr="005303A1">
        <w:t>the low-level</w:t>
      </w:r>
      <w:r w:rsidR="00C4152D" w:rsidRPr="005303A1">
        <w:t xml:space="preserve"> details. However, i</w:t>
      </w:r>
      <w:r w:rsidR="007D50D3" w:rsidRPr="005303A1">
        <w:t xml:space="preserve">f you </w:t>
      </w:r>
      <w:r w:rsidRPr="005303A1">
        <w:t>need to manipulat</w:t>
      </w:r>
      <w:r w:rsidR="00A319BA" w:rsidRPr="005303A1">
        <w:t>e</w:t>
      </w:r>
      <w:r w:rsidRPr="005303A1">
        <w:t xml:space="preserve"> the sample data – for example, </w:t>
      </w:r>
      <w:r w:rsidRPr="005303A1">
        <w:lastRenderedPageBreak/>
        <w:t xml:space="preserve">to </w:t>
      </w:r>
      <w:r w:rsidR="007D50D3" w:rsidRPr="005303A1">
        <w:t>add effects to the samples</w:t>
      </w:r>
      <w:r w:rsidR="00C4152D" w:rsidRPr="005303A1">
        <w:t xml:space="preserve"> </w:t>
      </w:r>
      <w:r w:rsidRPr="005303A1">
        <w:t xml:space="preserve">before encoding them -- </w:t>
      </w:r>
      <w:r w:rsidR="007D50D3" w:rsidRPr="005303A1">
        <w:t xml:space="preserve">the </w:t>
      </w:r>
      <w:r w:rsidR="00A92B62" w:rsidRPr="005303A1">
        <w:t>source reader and sink writer</w:t>
      </w:r>
      <w:r w:rsidR="00C4152D" w:rsidRPr="005303A1">
        <w:t xml:space="preserve"> </w:t>
      </w:r>
      <w:r w:rsidRPr="005303A1">
        <w:t xml:space="preserve">might be a </w:t>
      </w:r>
      <w:r w:rsidR="00C4152D" w:rsidRPr="005303A1">
        <w:t>better choice</w:t>
      </w:r>
      <w:r w:rsidR="00A92B62" w:rsidRPr="005303A1">
        <w:t xml:space="preserve">. We </w:t>
      </w:r>
      <w:r w:rsidR="006D5DEC" w:rsidRPr="005303A1">
        <w:t xml:space="preserve">will </w:t>
      </w:r>
      <w:r w:rsidR="00A92B62" w:rsidRPr="005303A1">
        <w:t xml:space="preserve">have some topics about </w:t>
      </w:r>
      <w:r w:rsidR="006D5DEC" w:rsidRPr="005303A1">
        <w:t xml:space="preserve">the </w:t>
      </w:r>
      <w:r w:rsidR="00A92B62" w:rsidRPr="005303A1">
        <w:t>source reader and sink writer later</w:t>
      </w:r>
      <w:r w:rsidR="006D5DEC" w:rsidRPr="005303A1">
        <w:t xml:space="preserve"> in this series</w:t>
      </w:r>
      <w:r w:rsidR="00A92B62" w:rsidRPr="005303A1">
        <w:t xml:space="preserve">. </w:t>
      </w:r>
      <w:r w:rsidR="007D50D3" w:rsidRPr="005303A1">
        <w:t xml:space="preserve"> </w:t>
      </w:r>
    </w:p>
    <w:p w:rsidR="00A73BF5" w:rsidRDefault="00A73BF5" w:rsidP="007D50D3">
      <w:r w:rsidRPr="005303A1">
        <w:t xml:space="preserve">To read more about the </w:t>
      </w:r>
      <w:proofErr w:type="spellStart"/>
      <w:r w:rsidRPr="005303A1">
        <w:t>transcode</w:t>
      </w:r>
      <w:proofErr w:type="spellEnd"/>
      <w:r w:rsidRPr="005303A1">
        <w:t xml:space="preserve"> API: </w:t>
      </w:r>
      <w:hyperlink r:id="rId18" w:history="1">
        <w:r w:rsidR="006360F6" w:rsidRPr="008016D4">
          <w:rPr>
            <w:rStyle w:val="Hyperlink"/>
          </w:rPr>
          <w:t>http://msdn.microsoft.com/en-us/library/dd317903(VS.85).aspx</w:t>
        </w:r>
      </w:hyperlink>
    </w:p>
    <w:p w:rsidR="006360F6" w:rsidRPr="005303A1" w:rsidRDefault="006360F6" w:rsidP="007D50D3"/>
    <w:sectPr w:rsidR="006360F6" w:rsidRPr="005303A1" w:rsidSect="008032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153" w:rsidRDefault="00572153" w:rsidP="00674595">
      <w:pPr>
        <w:spacing w:after="0" w:line="240" w:lineRule="auto"/>
      </w:pPr>
      <w:r>
        <w:separator/>
      </w:r>
    </w:p>
  </w:endnote>
  <w:endnote w:type="continuationSeparator" w:id="0">
    <w:p w:rsidR="00572153" w:rsidRDefault="00572153" w:rsidP="0067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A90" w:rsidRDefault="00A21A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392" w:rsidRPr="00A21A90" w:rsidRDefault="00483392" w:rsidP="00A21A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A90" w:rsidRDefault="00A21A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153" w:rsidRDefault="00572153" w:rsidP="00674595">
      <w:pPr>
        <w:spacing w:after="0" w:line="240" w:lineRule="auto"/>
      </w:pPr>
      <w:r>
        <w:separator/>
      </w:r>
    </w:p>
  </w:footnote>
  <w:footnote w:type="continuationSeparator" w:id="0">
    <w:p w:rsidR="00572153" w:rsidRDefault="00572153" w:rsidP="00674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A90" w:rsidRDefault="00A21A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A90" w:rsidRDefault="00A21A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A90" w:rsidRDefault="00A21A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5EEF"/>
    <w:multiLevelType w:val="hybridMultilevel"/>
    <w:tmpl w:val="19D6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09A1"/>
    <w:multiLevelType w:val="hybridMultilevel"/>
    <w:tmpl w:val="9DCAD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92BF4"/>
    <w:multiLevelType w:val="hybridMultilevel"/>
    <w:tmpl w:val="86A62B64"/>
    <w:lvl w:ilvl="0" w:tplc="E21AA2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62083"/>
    <w:multiLevelType w:val="hybridMultilevel"/>
    <w:tmpl w:val="2CF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F53C1"/>
    <w:multiLevelType w:val="hybridMultilevel"/>
    <w:tmpl w:val="DB060B4C"/>
    <w:lvl w:ilvl="0" w:tplc="4BC8A0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6FC0B976">
      <w:numFmt w:val="bullet"/>
      <w:lvlText w:val="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D3CA7"/>
    <w:multiLevelType w:val="hybridMultilevel"/>
    <w:tmpl w:val="E312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72643"/>
    <w:multiLevelType w:val="hybridMultilevel"/>
    <w:tmpl w:val="7D8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425CE"/>
    <w:multiLevelType w:val="hybridMultilevel"/>
    <w:tmpl w:val="0518CDB0"/>
    <w:lvl w:ilvl="0" w:tplc="4BC8A0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67ED4"/>
    <w:multiLevelType w:val="hybridMultilevel"/>
    <w:tmpl w:val="C3725F00"/>
    <w:lvl w:ilvl="0" w:tplc="100CEF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1563C"/>
    <w:multiLevelType w:val="hybridMultilevel"/>
    <w:tmpl w:val="2D744A5A"/>
    <w:lvl w:ilvl="0" w:tplc="BD980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6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F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67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0F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A2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61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A3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06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A82C35"/>
    <w:multiLevelType w:val="hybridMultilevel"/>
    <w:tmpl w:val="5E24E5BA"/>
    <w:lvl w:ilvl="0" w:tplc="4BC8A0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06EC2"/>
    <w:multiLevelType w:val="hybridMultilevel"/>
    <w:tmpl w:val="96909CD2"/>
    <w:lvl w:ilvl="0" w:tplc="4BC8A03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F3E42"/>
    <w:multiLevelType w:val="hybridMultilevel"/>
    <w:tmpl w:val="2C36575A"/>
    <w:lvl w:ilvl="0" w:tplc="23E2F2BC">
      <w:start w:val="9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EED94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A9589A"/>
    <w:multiLevelType w:val="hybridMultilevel"/>
    <w:tmpl w:val="C012E81A"/>
    <w:lvl w:ilvl="0" w:tplc="6FC0B976">
      <w:numFmt w:val="bullet"/>
      <w:lvlText w:val="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CE3614"/>
    <w:multiLevelType w:val="hybridMultilevel"/>
    <w:tmpl w:val="AEDA95BC"/>
    <w:lvl w:ilvl="0" w:tplc="6FC0B976"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D16AF"/>
    <w:multiLevelType w:val="hybridMultilevel"/>
    <w:tmpl w:val="BE22A040"/>
    <w:lvl w:ilvl="0" w:tplc="4BC8A0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6FC0B976">
      <w:numFmt w:val="bullet"/>
      <w:lvlText w:val="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C736A"/>
    <w:multiLevelType w:val="hybridMultilevel"/>
    <w:tmpl w:val="291A3080"/>
    <w:lvl w:ilvl="0" w:tplc="4BC8A0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1F784F"/>
    <w:multiLevelType w:val="hybridMultilevel"/>
    <w:tmpl w:val="5EDED9A6"/>
    <w:lvl w:ilvl="0" w:tplc="4DBA3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BE9A">
      <w:start w:val="75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E265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7CA3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1A8F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7E73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20E9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9E9B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B8B7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A1C72C4"/>
    <w:multiLevelType w:val="hybridMultilevel"/>
    <w:tmpl w:val="B8424EC4"/>
    <w:lvl w:ilvl="0" w:tplc="4BC8A0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2571B"/>
    <w:multiLevelType w:val="hybridMultilevel"/>
    <w:tmpl w:val="CFB04150"/>
    <w:lvl w:ilvl="0" w:tplc="4BC8A03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677D6B"/>
    <w:multiLevelType w:val="hybridMultilevel"/>
    <w:tmpl w:val="74ECE886"/>
    <w:lvl w:ilvl="0" w:tplc="6FC0B976"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92F3C"/>
    <w:multiLevelType w:val="hybridMultilevel"/>
    <w:tmpl w:val="9D10F6A6"/>
    <w:lvl w:ilvl="0" w:tplc="4BC8A0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6FC0B976">
      <w:numFmt w:val="bullet"/>
      <w:lvlText w:val="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044DE3"/>
    <w:multiLevelType w:val="hybridMultilevel"/>
    <w:tmpl w:val="DD5E1C9C"/>
    <w:lvl w:ilvl="0" w:tplc="A192D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B464F7"/>
    <w:multiLevelType w:val="hybridMultilevel"/>
    <w:tmpl w:val="296E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EC31A6"/>
    <w:multiLevelType w:val="hybridMultilevel"/>
    <w:tmpl w:val="EAC6741A"/>
    <w:lvl w:ilvl="0" w:tplc="A6F21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CC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8B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D65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43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62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64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63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0D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9F1543B"/>
    <w:multiLevelType w:val="hybridMultilevel"/>
    <w:tmpl w:val="649C2874"/>
    <w:lvl w:ilvl="0" w:tplc="4BC8A0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6FC0B976">
      <w:numFmt w:val="bullet"/>
      <w:lvlText w:val="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F7B00"/>
    <w:multiLevelType w:val="hybridMultilevel"/>
    <w:tmpl w:val="6AB2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2"/>
  </w:num>
  <w:num w:numId="4">
    <w:abstractNumId w:val="16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7"/>
  </w:num>
  <w:num w:numId="10">
    <w:abstractNumId w:val="15"/>
  </w:num>
  <w:num w:numId="11">
    <w:abstractNumId w:val="4"/>
  </w:num>
  <w:num w:numId="12">
    <w:abstractNumId w:val="21"/>
  </w:num>
  <w:num w:numId="13">
    <w:abstractNumId w:val="25"/>
  </w:num>
  <w:num w:numId="14">
    <w:abstractNumId w:val="13"/>
  </w:num>
  <w:num w:numId="15">
    <w:abstractNumId w:val="14"/>
  </w:num>
  <w:num w:numId="16">
    <w:abstractNumId w:val="26"/>
  </w:num>
  <w:num w:numId="17">
    <w:abstractNumId w:val="2"/>
  </w:num>
  <w:num w:numId="18">
    <w:abstractNumId w:val="5"/>
  </w:num>
  <w:num w:numId="19">
    <w:abstractNumId w:val="1"/>
  </w:num>
  <w:num w:numId="20">
    <w:abstractNumId w:val="3"/>
  </w:num>
  <w:num w:numId="21">
    <w:abstractNumId w:val="22"/>
  </w:num>
  <w:num w:numId="22">
    <w:abstractNumId w:val="23"/>
  </w:num>
  <w:num w:numId="23">
    <w:abstractNumId w:val="6"/>
  </w:num>
  <w:num w:numId="24">
    <w:abstractNumId w:val="0"/>
  </w:num>
  <w:num w:numId="25">
    <w:abstractNumId w:val="8"/>
  </w:num>
  <w:num w:numId="26">
    <w:abstractNumId w:val="9"/>
  </w:num>
  <w:num w:numId="27">
    <w:abstractNumId w:val="24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34ED0"/>
    <w:rsid w:val="00024DE5"/>
    <w:rsid w:val="000300C0"/>
    <w:rsid w:val="00030504"/>
    <w:rsid w:val="000325FC"/>
    <w:rsid w:val="00033885"/>
    <w:rsid w:val="00050896"/>
    <w:rsid w:val="00051162"/>
    <w:rsid w:val="000A654B"/>
    <w:rsid w:val="000A7204"/>
    <w:rsid w:val="000B41EC"/>
    <w:rsid w:val="000D5146"/>
    <w:rsid w:val="000F5066"/>
    <w:rsid w:val="00102113"/>
    <w:rsid w:val="00157658"/>
    <w:rsid w:val="00175919"/>
    <w:rsid w:val="001926C0"/>
    <w:rsid w:val="001B3666"/>
    <w:rsid w:val="001C0CFE"/>
    <w:rsid w:val="001D2530"/>
    <w:rsid w:val="001E28C7"/>
    <w:rsid w:val="001F279B"/>
    <w:rsid w:val="001F54C5"/>
    <w:rsid w:val="002053E7"/>
    <w:rsid w:val="0021531F"/>
    <w:rsid w:val="002528C0"/>
    <w:rsid w:val="00263D48"/>
    <w:rsid w:val="002922D4"/>
    <w:rsid w:val="00292BA4"/>
    <w:rsid w:val="00293A6A"/>
    <w:rsid w:val="002963C6"/>
    <w:rsid w:val="002B43AC"/>
    <w:rsid w:val="002E4AA1"/>
    <w:rsid w:val="00304C7C"/>
    <w:rsid w:val="00334ED0"/>
    <w:rsid w:val="00340A7D"/>
    <w:rsid w:val="00344911"/>
    <w:rsid w:val="00364D4A"/>
    <w:rsid w:val="00380EB2"/>
    <w:rsid w:val="0038677E"/>
    <w:rsid w:val="003A72D3"/>
    <w:rsid w:val="003A7D5E"/>
    <w:rsid w:val="003C7DBC"/>
    <w:rsid w:val="003D224C"/>
    <w:rsid w:val="003D7C3A"/>
    <w:rsid w:val="003E13D7"/>
    <w:rsid w:val="003E4C0E"/>
    <w:rsid w:val="00420C31"/>
    <w:rsid w:val="0042194D"/>
    <w:rsid w:val="00425907"/>
    <w:rsid w:val="00433435"/>
    <w:rsid w:val="004474F2"/>
    <w:rsid w:val="00476C22"/>
    <w:rsid w:val="00483392"/>
    <w:rsid w:val="004870FB"/>
    <w:rsid w:val="004B5655"/>
    <w:rsid w:val="004B679D"/>
    <w:rsid w:val="004D5E05"/>
    <w:rsid w:val="004E2D52"/>
    <w:rsid w:val="004F10C1"/>
    <w:rsid w:val="005010D0"/>
    <w:rsid w:val="00515004"/>
    <w:rsid w:val="005303A1"/>
    <w:rsid w:val="0053263E"/>
    <w:rsid w:val="00552AF6"/>
    <w:rsid w:val="00555C84"/>
    <w:rsid w:val="005649BC"/>
    <w:rsid w:val="00572153"/>
    <w:rsid w:val="00590330"/>
    <w:rsid w:val="00592B73"/>
    <w:rsid w:val="005E6AC3"/>
    <w:rsid w:val="005F77E1"/>
    <w:rsid w:val="0060338B"/>
    <w:rsid w:val="006310EE"/>
    <w:rsid w:val="006360F6"/>
    <w:rsid w:val="00674595"/>
    <w:rsid w:val="00682B14"/>
    <w:rsid w:val="00690A8A"/>
    <w:rsid w:val="00691268"/>
    <w:rsid w:val="006A50AE"/>
    <w:rsid w:val="006B3B17"/>
    <w:rsid w:val="006D30A3"/>
    <w:rsid w:val="006D5DEC"/>
    <w:rsid w:val="006E0D3C"/>
    <w:rsid w:val="006F7776"/>
    <w:rsid w:val="0070199C"/>
    <w:rsid w:val="007034FD"/>
    <w:rsid w:val="00714B00"/>
    <w:rsid w:val="00714D1E"/>
    <w:rsid w:val="00733DEA"/>
    <w:rsid w:val="00775418"/>
    <w:rsid w:val="00787DD1"/>
    <w:rsid w:val="00794BC5"/>
    <w:rsid w:val="007A1841"/>
    <w:rsid w:val="007B01A8"/>
    <w:rsid w:val="007B5927"/>
    <w:rsid w:val="007B7760"/>
    <w:rsid w:val="007C6F28"/>
    <w:rsid w:val="007D50D3"/>
    <w:rsid w:val="0080011B"/>
    <w:rsid w:val="008032F1"/>
    <w:rsid w:val="0083165D"/>
    <w:rsid w:val="00836C96"/>
    <w:rsid w:val="0084217C"/>
    <w:rsid w:val="00874035"/>
    <w:rsid w:val="00892EB8"/>
    <w:rsid w:val="008934D1"/>
    <w:rsid w:val="008B6D07"/>
    <w:rsid w:val="008D604D"/>
    <w:rsid w:val="008E4791"/>
    <w:rsid w:val="008F7588"/>
    <w:rsid w:val="00900850"/>
    <w:rsid w:val="00910DF3"/>
    <w:rsid w:val="00911768"/>
    <w:rsid w:val="009206C9"/>
    <w:rsid w:val="009541CC"/>
    <w:rsid w:val="00970C59"/>
    <w:rsid w:val="00983A0A"/>
    <w:rsid w:val="00987779"/>
    <w:rsid w:val="009B44F7"/>
    <w:rsid w:val="009F61B2"/>
    <w:rsid w:val="00A21A90"/>
    <w:rsid w:val="00A319BA"/>
    <w:rsid w:val="00A42CF7"/>
    <w:rsid w:val="00A66598"/>
    <w:rsid w:val="00A66C6E"/>
    <w:rsid w:val="00A709B5"/>
    <w:rsid w:val="00A73BF5"/>
    <w:rsid w:val="00A7689B"/>
    <w:rsid w:val="00A92B62"/>
    <w:rsid w:val="00AE5CE7"/>
    <w:rsid w:val="00AF2980"/>
    <w:rsid w:val="00B031C8"/>
    <w:rsid w:val="00B30E87"/>
    <w:rsid w:val="00B43C42"/>
    <w:rsid w:val="00BC0BCE"/>
    <w:rsid w:val="00BD041A"/>
    <w:rsid w:val="00BF1146"/>
    <w:rsid w:val="00BF2777"/>
    <w:rsid w:val="00C03347"/>
    <w:rsid w:val="00C12A59"/>
    <w:rsid w:val="00C2298C"/>
    <w:rsid w:val="00C4152D"/>
    <w:rsid w:val="00C629AF"/>
    <w:rsid w:val="00C670AE"/>
    <w:rsid w:val="00C76C8B"/>
    <w:rsid w:val="00C81904"/>
    <w:rsid w:val="00C90EF4"/>
    <w:rsid w:val="00CB18E5"/>
    <w:rsid w:val="00CB51CE"/>
    <w:rsid w:val="00CB6CA5"/>
    <w:rsid w:val="00CC7D17"/>
    <w:rsid w:val="00CD397F"/>
    <w:rsid w:val="00D053EE"/>
    <w:rsid w:val="00D4174C"/>
    <w:rsid w:val="00D576DB"/>
    <w:rsid w:val="00DA213C"/>
    <w:rsid w:val="00DA2382"/>
    <w:rsid w:val="00DA73D7"/>
    <w:rsid w:val="00DC0A0E"/>
    <w:rsid w:val="00DE4649"/>
    <w:rsid w:val="00E112E8"/>
    <w:rsid w:val="00E12F4A"/>
    <w:rsid w:val="00E15267"/>
    <w:rsid w:val="00E23545"/>
    <w:rsid w:val="00E423BA"/>
    <w:rsid w:val="00E4784D"/>
    <w:rsid w:val="00E71FDB"/>
    <w:rsid w:val="00E85452"/>
    <w:rsid w:val="00EA66AB"/>
    <w:rsid w:val="00EB41A5"/>
    <w:rsid w:val="00EE04D0"/>
    <w:rsid w:val="00EF085C"/>
    <w:rsid w:val="00EF0BA1"/>
    <w:rsid w:val="00F11574"/>
    <w:rsid w:val="00F11A89"/>
    <w:rsid w:val="00F46BE2"/>
    <w:rsid w:val="00F477D2"/>
    <w:rsid w:val="00F664B2"/>
    <w:rsid w:val="00F7349E"/>
    <w:rsid w:val="00F83A11"/>
    <w:rsid w:val="00F90BB7"/>
    <w:rsid w:val="00FA5AB3"/>
    <w:rsid w:val="00FB11D2"/>
    <w:rsid w:val="00FB2F6C"/>
    <w:rsid w:val="00FD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595"/>
  </w:style>
  <w:style w:type="paragraph" w:styleId="Footer">
    <w:name w:val="footer"/>
    <w:basedOn w:val="Normal"/>
    <w:link w:val="FooterChar"/>
    <w:uiPriority w:val="99"/>
    <w:unhideWhenUsed/>
    <w:rsid w:val="0067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95"/>
  </w:style>
  <w:style w:type="paragraph" w:styleId="BalloonText">
    <w:name w:val="Balloon Text"/>
    <w:basedOn w:val="Normal"/>
    <w:link w:val="BalloonTextChar"/>
    <w:uiPriority w:val="99"/>
    <w:semiHidden/>
    <w:unhideWhenUsed/>
    <w:rsid w:val="007D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D5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1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1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1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51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22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224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0D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2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38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8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85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0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0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46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1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9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0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5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6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3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8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3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4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2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208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9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74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1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8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5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946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3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8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4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468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5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6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703988(VS.85).aspx" TargetMode="External"/><Relationship Id="rId13" Type="http://schemas.openxmlformats.org/officeDocument/2006/relationships/hyperlink" Target="http://msdn.microsoft.com/en-us/library/aa371340(VS.85).aspx" TargetMode="External"/><Relationship Id="rId18" Type="http://schemas.openxmlformats.org/officeDocument/2006/relationships/hyperlink" Target="http://msdn.microsoft.com/en-us/library/dd317903(VS.85).asp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msdn.microsoft.com/en-us/library/dd317903(VS.85).aspx" TargetMode="External"/><Relationship Id="rId12" Type="http://schemas.openxmlformats.org/officeDocument/2006/relationships/hyperlink" Target="http://msdn.microsoft.com/en-us/library/ms698720(VS.85).aspx" TargetMode="External"/><Relationship Id="rId17" Type="http://schemas.openxmlformats.org/officeDocument/2006/relationships/hyperlink" Target="http://msdn.microsoft.com/en-us/library/ms704703(VS.85)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698943(VS.85).aspx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ms697527(VS.85).aspx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dd388118(VS.85).aspx" TargetMode="External"/><Relationship Id="rId23" Type="http://schemas.openxmlformats.org/officeDocument/2006/relationships/header" Target="header3.xml"/><Relationship Id="rId10" Type="http://schemas.openxmlformats.org/officeDocument/2006/relationships/hyperlink" Target="http://msdn.microsoft.com/en-us/library/dd388105(VS.85).asp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dd389281(VS.85).aspx" TargetMode="External"/><Relationship Id="rId14" Type="http://schemas.openxmlformats.org/officeDocument/2006/relationships/hyperlink" Target="http://msdn.microsoft.com/en-us/library/dd388113(VS.85).aspx" TargetMode="External"/><Relationship Id="rId22" Type="http://schemas.openxmlformats.org/officeDocument/2006/relationships/footer" Target="footer2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990</Words>
  <Characters>5647</Characters>
  <Application>Microsoft Office Word</Application>
  <DocSecurity>0</DocSecurity>
  <Lines>47</Lines>
  <Paragraphs>13</Paragraphs>
  <ScaleCrop>false</ScaleCrop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2009-12-01T01:55:00Z</dcterms:created>
  <dcterms:modified xsi:type="dcterms:W3CDTF">2009-12-01T02:04:00Z</dcterms:modified>
</cp:coreProperties>
</file>