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right"/>
      </w:pPr>
      <w:r>
        <w:rPr>
          <w:rFonts w:ascii="Times New Roman" w:hAnsi="Times New Roman" w:eastAsia="Times New Roman"/>
          <w:b/>
          <w:i w:val="0"/>
          <w:color w:val="2F5496"/>
          <w:sz w:val="22"/>
        </w:rPr>
        <w:t>ИП Бабенко Р.В.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595959"/>
          <w:sz w:val="22"/>
        </w:rPr>
        <w:t>23.10.2026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2F5496"/>
          <w:sz w:val="44"/>
        </w:rPr>
        <w:t>Сопровождение агроопытов с получением человекочитаемой и машиночитаемой цифровой тени</w:t>
      </w:r>
    </w:p>
    <w:p>
      <w:pPr>
        <w:spacing w:before="24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6"/>
        </w:rPr>
        <w:t>научная статья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Ростов-на-Дону, 2026</w:t>
      </w:r>
    </w:p>
    <w:p>
      <w:r>
        <w:br w:type="page"/>
      </w:r>
    </w:p>
    <w:p>
      <w:pPr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Аннотация.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Полевой опыт часто теряет доказательность до первого измерения: гипотеза не сформулирована как проверяемая, главный исход и мощность не заданы, размещение вариантов систематическое, фактическая доза по делянке не записана. Предложен порядок сопровождения агроопыта, при котором протокол, учётная площадь и все данные опыта ведутся в единой базе, а результат выпускается в двух формах: человекочитаемой цифровой тени (самодостаточная страница кейса) и машиночитаемой (комплект JSON, GeoJSON, CSV и RDF с онтологией, контрактом признаков и манифестом контрольных сумм). Автоматическая проверка готовности (32 правила) до написания отчёта показывает, какой вывод опыт способен дать. На примере опыта с почвоулучшителями на озимой пшенице (18 делянок, 6 вариантов × 3 повторности) показано, что проверка выявляет смешение вариантов с почвенным градиентом и отсутствие фактической дозы ещё до уборки. Обсуждается отличие цифровой тени от цифрового двойника почв и путь от накопления теней к двойнику, на котором моделируется реакция растений вместо закладки новых опытов.</w:t>
      </w:r>
    </w:p>
    <w:p>
      <w:pPr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Ключевые слова: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полевой опыт, протокол опыта, минимально обнаружимая разница, учётная полоса, цифровая тень, цифровой двойник, онтология, FAIR, машинное обучение.</w:t>
      </w:r>
    </w:p>
    <w:p>
      <w:pPr>
        <w:ind w:firstLine="0"/>
      </w:pPr>
      <w:r>
        <w:rPr>
          <w:rFonts w:ascii="Times New Roman" w:hAnsi="Times New Roman" w:eastAsia="Times New Roman"/>
          <w:b/>
          <w:i/>
          <w:sz w:val="22"/>
        </w:rPr>
        <w:t>Abstract.</w:t>
      </w:r>
      <w:r>
        <w:rPr>
          <w:rFonts w:ascii="Times New Roman" w:hAnsi="Times New Roman" w:eastAsia="Times New Roman"/>
          <w:b w:val="0"/>
          <w:i/>
          <w:sz w:val="22"/>
        </w:rPr>
        <w:t xml:space="preserve"> Field trials often lose evidential value before the first measurement. We propose a trial support workflow in which the protocol, harvest area and all data are kept in one database and released as a human-readable digital shadow (a self-contained case page) and a machine-readable one (JSON, GeoJSON, CSV and RDF with an ontology, a feature contract and a checksum manifest). An automated readiness check (32 rules) shows what conclusion the trial can support before the report is written. We discuss how a digital shadow differs from a soil digital twin and how accumulated shadows lead to a twin on which crop response is simulated instead of new field trials.</w:t>
      </w:r>
    </w:p>
    <w:p>
      <w:pPr>
        <w:ind w:firstLine="0"/>
      </w:pPr>
      <w:r>
        <w:rPr>
          <w:rFonts w:ascii="Times New Roman" w:hAnsi="Times New Roman" w:eastAsia="Times New Roman"/>
          <w:b/>
          <w:i/>
          <w:sz w:val="22"/>
        </w:rPr>
        <w:t>Keywords:</w:t>
      </w:r>
      <w:r>
        <w:rPr>
          <w:rFonts w:ascii="Times New Roman" w:hAnsi="Times New Roman" w:eastAsia="Times New Roman"/>
          <w:b w:val="0"/>
          <w:i/>
          <w:sz w:val="22"/>
        </w:rPr>
        <w:t xml:space="preserve"> field trial, trial protocol, minimum detectable difference, harvest strip, digital shadow, digital twin, ontology, FAIR, machine learning.</w:t>
      </w:r>
    </w:p>
    <w:p>
      <w:pPr>
        <w:pStyle w:val="Heading1"/>
      </w:pPr>
      <w:r>
        <w:t>Введение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Отчёт о полевом опыте обычно содержит большой объём лабораторных данных, но не отвечает на вопрос заказчика с известной надёжностью. Разбор отчёта о полевом опыте прошлого сезона показал типичный набор причин: нет формализованной гипотезы и главного исхода; мощность опыта не оценена; варианты размещены систематически; нет учётной площади и исходного фона по каждой делянке; фактическая доза материала не записана; план статистического анализа составлен после получения данных. Обширная лабораторная часть этих пробелов не компенсирует.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Цифровые инструменты в агрономии в основном направлены на мониторинг поля и производства. Для опыта нужно другое — зафиксировать, что и как проверяется, и сохранить результат так, чтобы его можно было проверить, переиспользовать и сравнить с другими опытами. Это требование принципов FAIR: данные должны быть находимыми, доступными, совместимыми и переиспользуемыми.</w:t>
      </w:r>
      <w:r>
        <w:rPr>
          <w:rStyle w:val="FootnoteReference"/>
          <w:vertAlign w:val="superscript"/>
        </w:rPr>
        <w:footnoteReference w:id="1"/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Цель работы — описать порядок сопровождения агроопыта, при котором доказательность закладывается до первого измерения, а результат выпускается одновременно для людей и для машинного обучения.</w:t>
      </w:r>
    </w:p>
    <w:p>
      <w:pPr>
        <w:pStyle w:val="Heading1"/>
      </w:pPr>
      <w:r>
        <w:t>Материалы и методы</w:t>
      </w:r>
    </w:p>
    <w:p>
      <w:pPr>
        <w:pStyle w:val="Heading2"/>
      </w:pPr>
      <w:r>
        <w:t>Объект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Метод отработан на полевом опыте с почвоулучшителями на озимой пшенице в Ростовской области (сезон 2026–2027): 18 делянок около 0,14 га, 6 вариантов по 3 повторности. Изучаемые факторы: смесь биочара с биогумусом, биопрепарат (обработка семян и листовая), бентонит; контроль без внесения (см. табл. 1). Названия сторон и координаты в статье не приводятся.</w:t>
      </w:r>
    </w:p>
    <w:p>
      <w:pPr>
        <w:keepNext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595959"/>
          <w:sz w:val="20"/>
        </w:rP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95959"/>
          <w:sz w:val="20"/>
        </w:rPr>
        <w:t>1</w:t>
      </w:r>
      <w:r>
        <w:fldChar w:fldCharType="end"/>
      </w:r>
      <w:r>
        <w:rPr>
          <w:rFonts w:ascii="Times New Roman" w:hAnsi="Times New Roman" w:eastAsia="Times New Roman"/>
          <w:b w:val="0"/>
          <w:i/>
          <w:color w:val="595959"/>
          <w:sz w:val="20"/>
        </w:rPr>
        <w:t>. Факторная матрица опыта.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C9DA"/>
          <w:left w:val="single" w:sz="4" w:color="BFC9DA"/>
          <w:bottom w:val="single" w:sz="4" w:color="BFC9DA"/>
          <w:right w:val="single" w:sz="4" w:color="BFC9DA"/>
          <w:insideH w:val="single" w:sz="4" w:color="BFC9DA"/>
          <w:insideV w:val="single" w:sz="4" w:color="BFC9DA"/>
        </w:tblBorders>
      </w:tblPr>
      <w:tblGrid>
        <w:gridCol w:w="2268"/>
        <w:gridCol w:w="2551"/>
        <w:gridCol w:w="2268"/>
        <w:gridCol w:w="2268"/>
      </w:tblGrid>
      <w:tr>
        <w:trPr>
          <w:tblHeader/>
        </w:trPr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Вариант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keepNext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Смесь биочар + биогумус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Биопрепарат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Бентонит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V0 (контроль)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V1</w:t>
            </w:r>
          </w:p>
        </w:tc>
        <w:tc>
          <w:tcPr>
            <w:tcW w:type="dxa" w:w="2551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68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2268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V2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V3</w:t>
            </w:r>
          </w:p>
        </w:tc>
        <w:tc>
          <w:tcPr>
            <w:tcW w:type="dxa" w:w="2551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2268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2268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V4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  <w:shd w:val="clear" w:color="auto" w:fill="EAF0F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V5</w:t>
            </w:r>
          </w:p>
        </w:tc>
        <w:tc>
          <w:tcPr>
            <w:tcW w:type="dxa" w:w="2551"/>
            <w:shd w:val="clear" w:color="auto" w:fill="EAF0F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2268"/>
            <w:shd w:val="clear" w:color="auto" w:fill="EAF0F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2268"/>
            <w:shd w:val="clear" w:color="auto" w:fill="EAF0F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Протокол и гипотезы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Протокол хранится как данные, а не как текст отчёта. Каждая гипотеза описывает причинную цепочку «воздействие → механизм → растение → урожай», сравниваемые варианты и роль в доказательстве. Подтверждающая гипотеза одна — о прибавке урожайности от почвоулучшителя; остальные (питание, водный режим, микробный механизм, физика почвы, взаимодействие биопрепарата и бентонита) — поисковые. Главный исход — урожайность зерна при 14 % влажности с учётной полосы; вторичные — масса 1000 зёрен, белок, запас продуктивной влаги, нитратный азот. Протокол утверждается научным руководителем и фиксируется хэшем SHA-256.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Минимально обнаружимая разница оценивается до опыта по формуле (1):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MDD = (t₀,₉₇₅; df + z₁₋β) · √2 · CV / √r,  df = (r − 1)(v − 1)        (1)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где r — число повторностей; v — число вариантов; CV — ожидаемый коэффициент вариации урожайности между делянками, %; z₁₋β = 0,8416 при мощности 80 %. При CV 8 %, r = 3, v = 6 получается MDD 20,1 %: опыт надёжно различит только прибавку не менее 20 %. Поэтому целевой эффект главного исхода утверждён равным 20,1 %, а меньшие эффекты рассматриваются как поисковые.</w:t>
      </w:r>
    </w:p>
    <w:p>
      <w:pPr>
        <w:pStyle w:val="Heading2"/>
      </w:pPr>
      <w:r>
        <w:t>Учётная полоса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Урожай убирается и пробы отбираются только с учётной полосы: шириной жатки комбайна (7 м) по оси делянки, с отступом 3,5 м от торцов. Ось делянки определяется по самой длинной стороне контура; отступ отсчитывается от фактического края на всей ширине полосы, поэтому скошенный торец укорачивает полосу, а не выводит её за контур. Боковая защитка вычисляется; при ширине менее 2 м выдаётся предупреждение. Точки отбора вне полосы отмечаются флагом качества, координаты не переносятся.</w:t>
      </w:r>
    </w:p>
    <w:p>
      <w:pPr>
        <w:pStyle w:val="Heading2"/>
      </w:pPr>
      <w:r>
        <w:t>Данные опыта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В единую базу заносятся контуры делянок, схема и протокол, ведомости лаборатории, внесение, техкарта и проходы техники с затратами, учёты растений, фото и фаза BBCH, почвенная карта и разрезы, туры агрохимобследования. Среда опыта описывается без наземных датчиков: суточная погода реанализа ERA5 / ERA5-Land, спутниковые индексы Sentinel-2 по делянкам, рельеф по цифровой модели. У каждого значения указано происхождение: измерено, запланировано, модель, спутник, вычислено, перенесено из документа.</w:t>
      </w:r>
      <w:r>
        <w:rPr>
          <w:rStyle w:val="FootnoteReference"/>
          <w:vertAlign w:val="superscript"/>
        </w:rPr>
        <w:footnoteReference w:id="2"/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Перед выводом опыт проходит 32 проверки: вопрос и мощность, дизайн, фон и материалы, механизм, анализ и вывод. Каждая даёт PASS, WARN или BLOCK. Жёсткие проверки (главный исход, карта делянок, сырые данные, фон по делянкам, фактическая доза) при BLOCK дают итог NOT READY; прочие BLOCK переводят опыт в разряд поисковых (READY AS EXPLORATORY).</w:t>
      </w:r>
    </w:p>
    <w:p>
      <w:pPr>
        <w:pStyle w:val="Heading2"/>
      </w:pPr>
      <w:r>
        <w:t>Цифровая тень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Человекочитаемая тень — самодостаточная страница кейса: карта делянок и учётных полос, протокол и готовность, анализы, погода и снимки, фото, техкарта, смета, экономика; у каждого блока — выгрузка в xlsx; страница подписана. Машиночитаемая тень строится из тех же баз (только чтение) и включает:</w:t>
      </w:r>
    </w:p>
    <w:p>
      <w:pPr>
        <w:pStyle w:val="ListBullet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канон shadow.json с JSON Schema;</w:t>
      </w:r>
    </w:p>
    <w:p>
      <w:pPr>
        <w:pStyle w:val="ListBullet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граф в JSONL: сущности, связи, утверждения (субъект, свойство, значение, единица, время, метод, источник, происхождение), сценарии событий по делянкам;</w:t>
      </w:r>
    </w:p>
    <w:p>
      <w:pPr>
        <w:pStyle w:val="ListBullet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GeoJSON: поле, делянки, учётные полосы, точки отбора, разрезы, почвенные контуры;</w:t>
      </w:r>
    </w:p>
    <w:p>
      <w:pPr>
        <w:pStyle w:val="ListBullet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таблицы признаков «делянка × сезон» и «делянка × дата» с контрактом колонок;</w:t>
      </w:r>
    </w:p>
    <w:p>
      <w:pPr>
        <w:pStyle w:val="ListBullet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онтологию ssa: (TBox) и данные (ABox) в Turtle;</w:t>
      </w:r>
    </w:p>
    <w:p>
      <w:pPr>
        <w:pStyle w:val="ListBullet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отчёт качества и манифест с контрольными суммами SHA-256.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Словарь ssa: — собственный, потому что учётная полоса, факторная матрица и проверка готовности в существующие стандарты целиком не ложатся. Классы и свойства привязаны через skos:exactMatch / closeMatch к SOSA/SSN (наблюдения), PROV-O (происхождение), GeoSPARQL (геометрия), QUDT (единицы) и MIAPPE (фенотипические опыты).</w:t>
      </w:r>
      <w:r>
        <w:rPr>
          <w:rStyle w:val="FootnoteReference"/>
          <w:vertAlign w:val="superscript"/>
        </w:rPr>
        <w:footnoteReference w:id="3"/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Сборка детерминирована: одинаковые данные дают побайтно одинаковые файлы, поэтому хэш содержимого в манифесте подтверждает, что две выгрузки описывают одно и то же состояние опыта.</w:t>
      </w:r>
    </w:p>
    <w:p>
      <w:pPr>
        <w:pStyle w:val="Heading1"/>
      </w:pPr>
      <w:r>
        <w:t>Результаты</w:t>
      </w:r>
    </w:p>
    <w:p>
      <w:pPr>
        <w:pStyle w:val="Heading2"/>
      </w:pPr>
      <w:r>
        <w:t>Что показала проверка готовности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После утверждения протокола опыт получил итог NOT READY: 18 проверок PASS, 11 WARN, 3 BLOCK (см. табл. 2). Мощность после согласования целевого эффекта с MDD прошла проверку.</w:t>
      </w:r>
    </w:p>
    <w:p>
      <w:pPr>
        <w:keepNext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595959"/>
          <w:sz w:val="20"/>
        </w:rP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95959"/>
          <w:sz w:val="20"/>
        </w:rPr>
        <w:t>1</w:t>
      </w:r>
      <w:r>
        <w:fldChar w:fldCharType="end"/>
      </w:r>
      <w:r>
        <w:rPr>
          <w:rFonts w:ascii="Times New Roman" w:hAnsi="Times New Roman" w:eastAsia="Times New Roman"/>
          <w:b w:val="0"/>
          <w:i/>
          <w:color w:val="595959"/>
          <w:sz w:val="20"/>
        </w:rPr>
        <w:t>. Основные замечания проверки готовности.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C9DA"/>
          <w:left w:val="single" w:sz="4" w:color="BFC9DA"/>
          <w:bottom w:val="single" w:sz="4" w:color="BFC9DA"/>
          <w:right w:val="single" w:sz="4" w:color="BFC9DA"/>
          <w:insideH w:val="single" w:sz="4" w:color="BFC9DA"/>
          <w:insideV w:val="single" w:sz="4" w:color="BFC9DA"/>
        </w:tblBorders>
      </w:tblPr>
      <w:tblGrid>
        <w:gridCol w:w="2551"/>
        <w:gridCol w:w="1134"/>
        <w:gridCol w:w="5669"/>
      </w:tblGrid>
      <w:tr>
        <w:trPr>
          <w:tblHeader/>
        </w:trPr>
        <w:tc>
          <w:tcPr>
            <w:tcW w:type="dxa" w:w="2551"/>
            <w:shd w:val="clear" w:color="auto" w:fill="1F3864"/>
            <w:vAlign w:val="center"/>
          </w:tcPr>
          <w:p>
            <w:pPr>
              <w:keepNext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Проверка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Статус</w:t>
            </w:r>
          </w:p>
        </w:tc>
        <w:tc>
          <w:tcPr>
            <w:tcW w:type="dxa" w:w="5669"/>
            <w:shd w:val="clear" w:color="auto" w:fill="1F3864"/>
            <w:vAlign w:val="center"/>
          </w:tcPr>
          <w:p>
            <w:pPr>
              <w:keepNext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Что означает для вывода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Рандомизация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BLOCK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систематическое размещение: различие мест может быть принято за действие варианта</w:t>
            </w:r>
          </w:p>
        </w:tc>
      </w:tr>
      <w:tr>
        <w:tc>
          <w:tcPr>
            <w:tcW w:type="dxa" w:w="2551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Фактическая доза по делянке</w:t>
            </w:r>
          </w:p>
        </w:tc>
        <w:tc>
          <w:tcPr>
            <w:tcW w:type="dxa" w:w="1134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BLOCK</w:t>
            </w:r>
          </w:p>
        </w:tc>
        <w:tc>
          <w:tcPr>
            <w:tcW w:type="dxa" w:w="5669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номинальная доза варианта — не факт; без записи внесения вывод недоступен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Смешение с почвенным градиентом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BLOCK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контроль и один из вариантов чаще лежат на песчаном контуре почвенной карты — ковариата обязательна</w:t>
            </w:r>
          </w:p>
        </w:tc>
      </w:tr>
      <w:tr>
        <w:tc>
          <w:tcPr>
            <w:tcW w:type="dxa" w:w="2551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Факторная структура</w:t>
            </w:r>
          </w:p>
        </w:tc>
        <w:tc>
          <w:tcPr>
            <w:tcW w:type="dxa" w:w="1134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WARN</w:t>
            </w:r>
          </w:p>
        </w:tc>
        <w:tc>
          <w:tcPr>
            <w:tcW w:type="dxa" w:w="5669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биочар и биогумус всегда вместе — их эффекты отдельно не оцениваются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Влажность почвы по делянкам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WARN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скважины 0–100 см на половине делянок — водный механизм только описательно</w:t>
            </w:r>
          </w:p>
        </w:tc>
      </w:tr>
      <w:tr>
        <w:tc>
          <w:tcPr>
            <w:tcW w:type="dxa" w:w="2551"/>
            <w:shd w:val="clear" w:color="auto" w:fill="EAF0F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Боковая защитка</w:t>
            </w:r>
          </w:p>
        </w:tc>
        <w:tc>
          <w:tcPr>
            <w:tcW w:type="dxa" w:w="1134"/>
            <w:shd w:val="clear" w:color="auto" w:fill="EAF0F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WARN</w:t>
            </w:r>
          </w:p>
        </w:tc>
        <w:tc>
          <w:tcPr>
            <w:tcW w:type="dxa" w:w="5669"/>
            <w:shd w:val="clear" w:color="auto" w:fill="EAF0F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 одной делянки защитка меньше 1 м — риск краевого эффекта</w:t>
            </w:r>
          </w:p>
        </w:tc>
      </w:tr>
    </w:tbl>
    <w:p>
      <w:pPr>
        <w:spacing w:before="240" w:after="0"/>
      </w:pPr>
    </w:p>
    <w:p>
      <w:r>
        <w:rPr>
          <w:rFonts w:ascii="Times New Roman" w:hAnsi="Times New Roman" w:eastAsia="Times New Roman"/>
          <w:b w:val="0"/>
          <w:i w:val="0"/>
          <w:sz w:val="22"/>
        </w:rPr>
        <w:t>Важно, что эти замечания получены до уборки: фактическую дозу и ковариату почвы ещё можно записать, а интерпретацию эффекта контроля — заранее ограничить.</w:t>
      </w:r>
    </w:p>
    <w:p>
      <w:pPr>
        <w:pStyle w:val="Heading2"/>
      </w:pPr>
      <w:r>
        <w:t>Датасет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Таблица «делянка × сезон» содержит 18 строк и около 85 колонок: дизайн (вариант, повторность, уровни факторов), ковариаты до воздействия (фон по слоям, доля песчаного контура, рельеф, защитка), погода по пяти фенологическим окнам, спутниковые индексы, цели (исходы протокола) и затраты на гектар. Панель «делянка × дата» содержит значения наблюдений на дату с накопленной от сева погодой. Для каждой колонки в контракте указаны роль, единица, окно, происхождение и риск утечки; кросс-валидация — с исключением повторности целиком.</w:t>
      </w:r>
    </w:p>
    <w:p>
      <w:pPr>
        <w:pStyle w:val="Heading2"/>
      </w:pPr>
      <w:r>
        <w:t>Состав графа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Граф опыта — около 1,4 тыс. сущностей и 1,6 тыс. связей; все связи разрешаются, персональных данных нет, схема канона проходит проверку, RDF разбирается стандартными библиотеками. Каждый класс, встречающийся в данных, объявлен в онтологии.</w:t>
      </w:r>
    </w:p>
    <w:p>
      <w:pPr>
        <w:pStyle w:val="Heading1"/>
      </w:pPr>
      <w:r>
        <w:t>Обсуждение</w:t>
      </w:r>
    </w:p>
    <w:p>
      <w:pPr>
        <w:pStyle w:val="Heading2"/>
      </w:pPr>
      <w:r>
        <w:t>Тень и двойник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Термины «цифровая тень» и «цифровой двойник» часто смешивают. Здесь цифровая тень — запись состояния и истории конкретного опыта: что заложено, что измерено, при какой погоде и почве, с каким происхождением значений. Тень ничего не предсказывает. Цифровой двойник почв (и шире — агроэкосистемы) — модель, связанная с объектом и способная предсказывать его состояние и отклик на воздействие без нового измерения (см. табл. 3).</w:t>
      </w:r>
      <w:r>
        <w:rPr>
          <w:rStyle w:val="FootnoteReference"/>
          <w:vertAlign w:val="superscript"/>
        </w:rPr>
        <w:footnoteReference w:id="4"/>
      </w:r>
    </w:p>
    <w:p>
      <w:pPr>
        <w:keepNext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595959"/>
          <w:sz w:val="20"/>
        </w:rP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95959"/>
          <w:sz w:val="20"/>
        </w:rPr>
        <w:t>1</w:t>
      </w:r>
      <w:r>
        <w:fldChar w:fldCharType="end"/>
      </w:r>
      <w:r>
        <w:rPr>
          <w:rFonts w:ascii="Times New Roman" w:hAnsi="Times New Roman" w:eastAsia="Times New Roman"/>
          <w:b w:val="0"/>
          <w:i/>
          <w:color w:val="595959"/>
          <w:sz w:val="20"/>
        </w:rPr>
        <w:t>. Цифровая тень и цифровой двойник.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C9DA"/>
          <w:left w:val="single" w:sz="4" w:color="BFC9DA"/>
          <w:bottom w:val="single" w:sz="4" w:color="BFC9DA"/>
          <w:right w:val="single" w:sz="4" w:color="BFC9DA"/>
          <w:insideH w:val="single" w:sz="4" w:color="BFC9DA"/>
          <w:insideV w:val="single" w:sz="4" w:color="BFC9DA"/>
        </w:tblBorders>
      </w:tblPr>
      <w:tblGrid>
        <w:gridCol w:w="1984"/>
        <w:gridCol w:w="3685"/>
        <w:gridCol w:w="3685"/>
      </w:tblGrid>
      <w:tr>
        <w:trPr>
          <w:tblHeader/>
        </w:trPr>
        <w:tc>
          <w:tcPr>
            <w:tcW w:type="dxa" w:w="1984"/>
            <w:shd w:val="clear" w:color="auto" w:fill="1F3864"/>
            <w:vAlign w:val="center"/>
          </w:tcPr>
          <w:p>
            <w:pPr>
              <w:keepNext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Признак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keepNext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Цифровая тень опыта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keepNext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Цифровой двойник почв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это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запись опыта: протокол, делянки, события, наблюдения, среда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модель почвы и отклика растений</w:t>
            </w:r>
          </w:p>
        </w:tc>
      </w:tr>
      <w:tr>
        <w:tc>
          <w:tcPr>
            <w:tcW w:type="dxa" w:w="1984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Источник</w:t>
            </w:r>
          </w:p>
        </w:tc>
        <w:tc>
          <w:tcPr>
            <w:tcW w:type="dxa" w:w="3685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измерения и документы одного опыта</w:t>
            </w:r>
          </w:p>
        </w:tc>
        <w:tc>
          <w:tcPr>
            <w:tcW w:type="dxa" w:w="3685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датасет многих опытов и наблюдений + знания о процессах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Направление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прошлое и настоящее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прогноз и сценарии</w:t>
            </w:r>
          </w:p>
        </w:tc>
      </w:tr>
      <w:tr>
        <w:tc>
          <w:tcPr>
            <w:tcW w:type="dxa" w:w="1984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Отвечает на вопрос</w:t>
            </w:r>
          </w:p>
        </w:tc>
        <w:tc>
          <w:tcPr>
            <w:tcW w:type="dxa" w:w="3685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произошло и насколько этому можно верить</w:t>
            </w:r>
          </w:p>
        </w:tc>
        <w:tc>
          <w:tcPr>
            <w:tcW w:type="dxa" w:w="3685"/>
            <w:shd w:val="clear" w:color="auto" w:fill="EAF0F7"/>
            <w:vAlign w:val="center"/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будет при другой технологии, погоде, почве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Проверка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контрольные суммы, readiness, происхождение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ошибка прогноза на новых площадках и годах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От теней к двойнику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Одна тень — одна площадка и один год; вывод из неё ограничен этой средой. Тени многих опытов с общей онтологией и одинаковым контрактом признаков складываются в датасет «площадка × год × технология». На нём обучаются модели отклика урожайности и свойств почвы на факторы технологии с учётом погоды и почвы; сила влияния фактора оценивается по вкладу в прогноз и по отклику на контрфактический сценарий. Модель, прошедшая проверку на независимых площадках и годах, становится ядром двойника: реакцию растений на технологию моделируют на двойнике, а в поле закладывают только опыты, которые уточняют модель там, где её неопределённость велика (рис. 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9DA"/>
          <w:left w:val="single" w:sz="4" w:color="BFC9DA"/>
          <w:bottom w:val="single" w:sz="4" w:color="BFC9DA"/>
          <w:right w:val="single" w:sz="4" w:color="BFC9DA"/>
          <w:insideH w:val="single" w:sz="4" w:color="BFC9DA"/>
          <w:insideV w:val="single" w:sz="4" w:color="BFC9DA"/>
        </w:tblBorders>
      </w:tblPr>
      <w:tblGrid>
        <w:gridCol w:w="9355"/>
      </w:tblGrid>
      <w:tr>
        <w:tc>
          <w:tcPr>
            <w:tcW w:type="dxa" w:w="9355"/>
            <w:shd w:val="clear" w:color="auto" w:fill="EAF0F7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0"/>
              </w:rPr>
              <w:t>опыт  →  человекочитаемая тень (страница кейса)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0"/>
              </w:rPr>
              <w:t xml:space="preserve">  ↓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0"/>
              </w:rPr>
              <w:t>машиночитаемая тень  →  датасет «площадка × год × технология»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0"/>
              </w:rPr>
              <w:t xml:space="preserve">  ↓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0"/>
              </w:rPr>
              <w:t>модели отклика  →  цифровой двойник  →  сценарии без закладки опыта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0"/>
              </w:rPr>
              <w:t xml:space="preserve">  ↑                                         ↓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0"/>
              </w:rPr>
              <w:t>новый опыт там, где неопределённость модели велика</w:t>
            </w:r>
          </w:p>
        </w:tc>
      </w:tr>
    </w:tbl>
    <w:p>
      <w:pPr>
        <w:spacing w:before="8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0"/>
        </w:rPr>
        <w:t xml:space="preserve">Рис.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95959"/>
          <w:sz w:val="20"/>
        </w:rPr>
        <w:t>1</w:t>
      </w:r>
      <w:r>
        <w:fldChar w:fldCharType="end"/>
      </w:r>
      <w:r>
        <w:rPr>
          <w:rFonts w:ascii="Times New Roman" w:hAnsi="Times New Roman" w:eastAsia="Times New Roman"/>
          <w:b w:val="0"/>
          <w:i/>
          <w:color w:val="595959"/>
          <w:sz w:val="20"/>
        </w:rPr>
        <w:t>. Путь от цифровой тени к цифровому двойнику.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Стандарты описания полевых опытов — ICASA, MIAPPE — дают переменные и метаданные; предлагаемая тень дополняет их проверкой готовности и геометрией учётной площади, без которых сравнение опытов разных исполнителей ненадёжно.</w:t>
      </w:r>
      <w:r>
        <w:rPr>
          <w:rStyle w:val="FootnoteReference"/>
          <w:vertAlign w:val="superscript"/>
        </w:rPr>
        <w:footnoteReference w:id="5"/>
      </w:r>
    </w:p>
    <w:p>
      <w:pPr>
        <w:pStyle w:val="Heading2"/>
      </w:pPr>
      <w:r>
        <w:t>Ограничения</w:t>
      </w:r>
    </w:p>
    <w:p>
      <w:pPr>
        <w:pStyle w:val="ListBullet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одна площадка и один год — вывод поисковый, обобщение требует накопления сред;</w:t>
      </w:r>
    </w:p>
    <w:p>
      <w:pPr>
        <w:pStyle w:val="ListBullet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погода реанализа одна на опыт и не различает делянки;</w:t>
      </w:r>
    </w:p>
    <w:p>
      <w:pPr>
        <w:pStyle w:val="ListBullet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без наземных датчиков влага почвы измеряется только при отборах;</w:t>
      </w:r>
    </w:p>
    <w:p>
      <w:pPr>
        <w:pStyle w:val="ListBullet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привязки к агрономическим тезаурусам (AGROVOC) требуют сверки кодов терминов.</w:t>
      </w:r>
    </w:p>
    <w:p>
      <w:pPr>
        <w:pStyle w:val="Heading1"/>
      </w:pPr>
      <w:r>
        <w:t>Выводы</w:t>
      </w:r>
    </w:p>
    <w:p>
      <w:pPr>
        <w:pStyle w:val="ListNumber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Доказательность опыта закладывается до первого измерения: проверяемая гипотеза, главный исход, MDD, рандомизация, учётная полоса, фактическая доза.</w:t>
      </w:r>
    </w:p>
    <w:p>
      <w:pPr>
        <w:pStyle w:val="ListNumber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Автоматическая проверка готовности до уборки показывает, какой вывод опыт способен дать, и что ещё можно исправить.</w:t>
      </w:r>
    </w:p>
    <w:p>
      <w:pPr>
        <w:pStyle w:val="ListNumber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Выпуск результата сразу в двух формах — для людей и для машин — делает опыт проверяемым и переиспользуемым.</w:t>
      </w:r>
    </w:p>
    <w:p>
      <w:pPr>
        <w:pStyle w:val="ListNumber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Цифровая тень — запись, а не модель; накопление теней с общей онтологией — путь к цифровому двойнику, на котором реакцию растений моделируют без закладки каждого нового опыта.</w:t>
      </w:r>
    </w:p>
    <w:p>
      <w:pPr>
        <w:pStyle w:val="Heading1"/>
      </w:pPr>
      <w: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1. Wilkinson M. D. et al. The FAIR Guiding Principles for scientific data management and stewardship // Scientific Data. 2016. Vol. 3.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2. W3C. Semantic Sensor Network Ontology (SOSA/SSN). W3C Recommendation, 2017.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3. W3C. PROV-O: The PROV Ontology. W3C Recommendation, 2013.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4. OGC. GeoSPARQL — A Geographic Query Language for RDF Data. OGC Standard.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5. Papoutsoglou E. A. et al. Enabling reusability of plant phenomic datasets with MIAPPE 1.1 // New Phytologist. 2020.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6. White J. W. et al. Integrated description of agricultural field experiments and production: the ICASA Version 2.0 data standards // Computers and Electronics in Agriculture. 2013.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7. Meier U. (ред.). Growth stages of mono- and dicotyledonous plants. BBCH Monograph. Julius Kühn-Institut.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8. Grieves M., Vickers J. Digital Twin: Mitigating Unpredictable, Undesirable Emergent Behavior in Complex Systems // Transdisciplinary Perspectives on Complex Systems. Springer, 2017.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9. Copernicus Climate Change Service. ERA5-Land hourly data from 1950 to present.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10. ESA. Copernicus Sentinel-2 MSI Level-2A.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11. QUDT — Quantities, Units, Dimensions and Types ontologies (qudt.org).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b w:val="0"/>
        <w:i w:val="0"/>
        <w:color w:val="595959"/>
        <w:sz w:val="18"/>
      </w:rPr>
      <w:fldChar w:fldCharType="begin"/>
    </w:r>
    <w:r>
      <w:rPr>
        <w:rFonts w:ascii="Times New Roman" w:hAnsi="Times New Roman" w:eastAsia="Times New Roman"/>
        <w:b w:val="0"/>
        <w:i w:val="0"/>
        <w:color w:val="595959"/>
        <w:sz w:val="18"/>
      </w:rPr>
      <w:instrText xml:space="preserve"> PAGE </w:instrText>
    </w:r>
    <w:r>
      <w:rPr>
        <w:rFonts w:ascii="Times New Roman" w:hAnsi="Times New Roman" w:eastAsia="Times New Roman"/>
        <w:b w:val="0"/>
        <w:i w:val="0"/>
        <w:color w:val="595959"/>
        <w:sz w:val="18"/>
      </w:rPr>
      <w:fldChar w:fldCharType="separate"/>
    </w:r>
    <w:r>
      <w:rPr>
        <w:rFonts w:ascii="Times New Roman" w:hAnsi="Times New Roman" w:eastAsia="Times New Roman"/>
        <w:b w:val="0"/>
        <w:i w:val="0"/>
        <w:color w:val="595959"/>
        <w:sz w:val="18"/>
      </w:rPr>
      <w:t>1</w:t>
    </w:r>
    <w:r>
      <w:rPr>
        <w:rFonts w:ascii="Times New Roman" w:hAnsi="Times New Roman" w:eastAsia="Times New Roman"/>
        <w:b w:val="0"/>
        <w:i w:val="0"/>
        <w:color w:val="595959"/>
        <w:sz w:val="18"/>
      </w:rPr>
      <w:fldChar w:fldCharType="end"/>
    </w: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 из </w:t>
    </w:r>
    <w:r>
      <w:rPr>
        <w:rFonts w:ascii="Times New Roman" w:hAnsi="Times New Roman" w:eastAsia="Times New Roman"/>
        <w:b w:val="0"/>
        <w:i w:val="0"/>
        <w:color w:val="595959"/>
        <w:sz w:val="18"/>
      </w:rPr>
      <w:fldChar w:fldCharType="begin"/>
    </w:r>
    <w:r>
      <w:rPr>
        <w:rFonts w:ascii="Times New Roman" w:hAnsi="Times New Roman" w:eastAsia="Times New Roman"/>
        <w:b w:val="0"/>
        <w:i w:val="0"/>
        <w:color w:val="595959"/>
        <w:sz w:val="18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color w:val="595959"/>
        <w:sz w:val="18"/>
      </w:rPr>
      <w:fldChar w:fldCharType="separate"/>
    </w:r>
    <w:r>
      <w:rPr>
        <w:rFonts w:ascii="Times New Roman" w:hAnsi="Times New Roman" w:eastAsia="Times New Roman"/>
        <w:b w:val="0"/>
        <w:i w:val="0"/>
        <w:color w:val="595959"/>
        <w:sz w:val="18"/>
      </w:rPr>
      <w:t>1</w:t>
    </w:r>
    <w:r>
      <w:rPr>
        <w:rFonts w:ascii="Times New Roman" w:hAnsi="Times New Roman" w:eastAsia="Times New Roman"/>
        <w:b w:val="0"/>
        <w:i w:val="0"/>
        <w:color w:val="595959"/>
        <w:sz w:val="18"/>
      </w:rP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both"/>
      </w:pPr>
      <w:r>
        <w:rPr>
          <w:vertAlign w:val="superscript"/>
          <w:rFonts w:ascii="Times New Roman" w:hAnsi="Times New Roman"/>
          <w:sz w:val="18"/>
        </w:rPr>
        <w:footnoteRef/>
      </w:r>
      <w:r>
        <w:rPr>
          <w:rFonts w:ascii="Times New Roman" w:hAnsi="Times New Roman"/>
          <w:sz w:val="18"/>
          <w:color w:val="595959"/>
        </w:rPr>
        <w:t xml:space="preserve"> Wilkinson M. D. et al. The FAIR Guiding Principles for scientific data management and stewardship. Scientific Data, 2016.</w:t>
      </w:r>
    </w:p>
  </w:footnote>
  <w:footnote w:id="2">
    <w:p>
      <w:pPr>
        <w:jc w:val="both"/>
      </w:pPr>
      <w:r>
        <w:rPr>
          <w:vertAlign w:val="superscript"/>
          <w:rFonts w:ascii="Times New Roman" w:hAnsi="Times New Roman"/>
          <w:sz w:val="18"/>
        </w:rPr>
        <w:footnoteRef/>
      </w:r>
      <w:r>
        <w:rPr>
          <w:rFonts w:ascii="Times New Roman" w:hAnsi="Times New Roman"/>
          <w:sz w:val="18"/>
          <w:color w:val="595959"/>
        </w:rPr>
        <w:t xml:space="preserve"> Copernicus Climate Change Service. ERA5-Land; ESA. Sentinel-2 MSI Level-2A; Meier U. (ред.). BBCH Monograph.</w:t>
      </w:r>
    </w:p>
  </w:footnote>
  <w:footnote w:id="3">
    <w:p>
      <w:pPr>
        <w:jc w:val="both"/>
      </w:pPr>
      <w:r>
        <w:rPr>
          <w:vertAlign w:val="superscript"/>
          <w:rFonts w:ascii="Times New Roman" w:hAnsi="Times New Roman"/>
          <w:sz w:val="18"/>
        </w:rPr>
        <w:footnoteRef/>
      </w:r>
      <w:r>
        <w:rPr>
          <w:rFonts w:ascii="Times New Roman" w:hAnsi="Times New Roman"/>
          <w:sz w:val="18"/>
          <w:color w:val="595959"/>
        </w:rPr>
        <w:t xml:space="preserve"> W3C SOSA/SSN, 2017; W3C PROV-O, 2013; OGC GeoSPARQL; MIAPPE 1.1 (Papoutsoglou et al., 2020); QUDT.</w:t>
      </w:r>
    </w:p>
  </w:footnote>
  <w:footnote w:id="4">
    <w:p>
      <w:pPr>
        <w:jc w:val="both"/>
      </w:pPr>
      <w:r>
        <w:rPr>
          <w:vertAlign w:val="superscript"/>
          <w:rFonts w:ascii="Times New Roman" w:hAnsi="Times New Roman"/>
          <w:sz w:val="18"/>
        </w:rPr>
        <w:footnoteRef/>
      </w:r>
      <w:r>
        <w:rPr>
          <w:rFonts w:ascii="Times New Roman" w:hAnsi="Times New Roman"/>
          <w:sz w:val="18"/>
          <w:color w:val="595959"/>
        </w:rPr>
        <w:t xml:space="preserve"> Grieves M., Vickers J. Digital Twin: Mitigating Unpredictable, Undesirable Emergent Behavior in Complex Systems. Springer, 2017.</w:t>
      </w:r>
    </w:p>
  </w:footnote>
  <w:footnote w:id="5">
    <w:p>
      <w:pPr>
        <w:jc w:val="both"/>
      </w:pPr>
      <w:r>
        <w:rPr>
          <w:vertAlign w:val="superscript"/>
          <w:rFonts w:ascii="Times New Roman" w:hAnsi="Times New Roman"/>
          <w:sz w:val="18"/>
        </w:rPr>
        <w:footnoteRef/>
      </w:r>
      <w:r>
        <w:rPr>
          <w:rFonts w:ascii="Times New Roman" w:hAnsi="Times New Roman"/>
          <w:sz w:val="18"/>
          <w:color w:val="595959"/>
        </w:rPr>
        <w:t xml:space="preserve"> White J. W. et al. ICASA Version 2.0 data standards. Computers and Electronics in Agriculture, 2013.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/>
        <w:b w:val="0"/>
        <w:i w:val="0"/>
        <w:color w:val="595959"/>
        <w:sz w:val="18"/>
      </w:rPr>
      <w:t>Сопровождение агроопытов с получением человекочитаемой и машиночитаемой цифровой тени, ИП Бабенко Р.В.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 w:before="0"/>
      <w:ind w:firstLine="709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ind w:firstLine="0"/>
      <w:jc w:val="left"/>
      <w:outlineLvl w:val="0"/>
    </w:pPr>
    <w:rPr>
      <w:rFonts w:ascii="Times New Roman" w:hAnsi="Times New Roman" w:eastAsia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rFonts w:ascii="Times New Roman" w:hAnsi="Times New Roman" w:eastAsia="Times New Roman"/>
      <w:b/>
      <w:bCs/>
      <w:color w:val="4454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2"/>
    </w:pPr>
    <w:rPr>
      <w:rFonts w:ascii="Times New Roman" w:hAnsi="Times New Roman" w:eastAsia="Times New Roman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