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4712A"/>
          <w:sz w:val="56"/>
          <w:szCs w:val="56"/>
        </w:rPr>
        <w:t xml:space="preserve">ROMANCHAM</w:t>
      </w:r>
    </w:p>
    <w:p>
      <w:pPr>
        <w:spacing w:after="40"/>
      </w:pPr>
      <w:r>
        <w:rPr>
          <w:b/>
          <w:bCs/>
          <w:color w:val="1F2937"/>
          <w:sz w:val="36"/>
          <w:szCs w:val="36"/>
        </w:rPr>
        <w:t xml:space="preserve">Complete Operating Guide</w:t>
      </w:r>
    </w:p>
    <w:p>
      <w:pPr>
        <w:spacing w:after="200"/>
      </w:pPr>
      <w:r>
        <w:rPr>
          <w:i/>
          <w:iCs/>
          <w:color w:val="6B7280"/>
          <w:sz w:val="24"/>
          <w:szCs w:val="24"/>
        </w:rPr>
        <w:t xml:space="preserve">From Vendor &amp; Item Master to P&amp;L — with a worked café example and full module linkage</w:t>
      </w:r>
    </w:p>
    <w:p>
      <w:r>
        <w:drawing>
          <wp:inline distT="0" distB="0" distL="0" distR="0">
            <wp:extent cx="5943600" cy="3248025"/>
            <wp:effectExtent t="0" r="0" b="0" l="0"/>
            <wp:docPr id="1" name="flow" descr="How Romancham modules link" title="Modul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48025"/>
                    </a:xfrm>
                    <a:prstGeom prst="rect">
                      <a:avLst/>
                    </a:prstGeom>
                  </pic:spPr>
                </pic:pic>
              </a:graphicData>
            </a:graphic>
          </wp:inline>
        </w:drawing>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4712A" w:sz="18"/>
              <w:bottom w:val="single" w:color="DDDDDD" w:sz="1"/>
              <w:right w:val="single" w:color="DDDDDD" w:sz="1"/>
            </w:tcBorders>
            <w:shd w:fill="FDEBDD" w:val="clear"/>
            <w:tcMar>
              <w:top w:type="dxa" w:w="100"/>
              <w:left w:type="dxa" w:w="160"/>
              <w:bottom w:type="dxa" w:w="100"/>
              <w:right w:type="dxa" w:w="140"/>
            </w:tcMar>
          </w:tcPr>
          <w:p>
            <w:pPr>
              <w:spacing w:after="60"/>
            </w:pPr>
            <w:r>
              <w:rPr>
                <w:b/>
                <w:bCs/>
                <w:color w:val="E4712A"/>
              </w:rPr>
              <w:t xml:space="preserve">The one-line summary</w:t>
            </w:r>
          </w:p>
          <w:p>
            <w:pPr>
              <w:spacing w:after="40"/>
            </w:pPr>
            <w:r>
              <w:rPr>
                <w:sz w:val="20"/>
                <w:szCs w:val="20"/>
              </w:rPr>
              <w:t xml:space="preserve">Set up your masters once (Units, Categories, Vendors, Items). After that you only record two kinds of orders — Purchases (stock in) and Sales (stock out) — and every number you need (stock value, food cost %, gross profit, net profit) is calculated for you and shown on the Dashboard / P&amp;L.</w:t>
            </w:r>
          </w:p>
        </w:tc>
      </w:tr>
    </w:tbl>
    <w:p>
      <w:r>
        <w:br w:type="page"/>
      </w:r>
    </w:p>
    <w:p>
      <w:pPr>
        <w:pStyle w:val="Heading1"/>
      </w:pPr>
      <w:r>
        <w:t xml:space="preserve">0.  How it all connects (read this first)</w:t>
      </w:r>
    </w:p>
    <w:p>
      <w:pPr>
        <w:spacing w:after="120" w:before="0"/>
      </w:pPr>
      <w:r>
        <w:t xml:space="preserve">Romancham is built as a chain. Each module feeds the next, so you never type the same number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Module</w:t>
            </w:r>
          </w:p>
        </w:tc>
        <w:tc>
          <w:tcPr>
            <w:tcW w:type="dxa" w:w="676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What it does &amp; where its data goes</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1. Masters</w:t>
            </w:r>
          </w:p>
        </w:tc>
        <w:tc>
          <w:tcPr>
            <w:tcW w:type="dxa" w:w="6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Your reference lists — Units, Categories, Vendors and Items. Everything else picks from these.</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2. Purchase order</w:t>
            </w:r>
          </w:p>
        </w:tc>
        <w:tc>
          <w:tcPr>
            <w:tcW w:type="dxa" w:w="67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You record a supplier bill. This adds stock and remembers what you paid (the cost).</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3. Inventory</w:t>
            </w:r>
          </w:p>
        </w:tc>
        <w:tc>
          <w:tcPr>
            <w:tcW w:type="dxa" w:w="6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Auto-updated from purchases using FIFO. Also splits GST into CGST/SGST or IGST.</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4. Recipes (BOM)</w:t>
            </w:r>
          </w:p>
        </w:tc>
        <w:tc>
          <w:tcPr>
            <w:tcW w:type="dxa" w:w="67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You define what each menu item is made of. This turns purchase costs into a per-dish cost.</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5. Sales order</w:t>
            </w:r>
          </w:p>
        </w:tc>
        <w:tc>
          <w:tcPr>
            <w:tcW w:type="dxa" w:w="6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You upload the POS CSV (or enter manually). This consumes stock via the recipe and computes COGS.</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6. Expenses</w:t>
            </w:r>
          </w:p>
        </w:tc>
        <w:tc>
          <w:tcPr>
            <w:tcW w:type="dxa" w:w="67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Your running costs (rent, salaries, etc.).</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7. Dashboard / P&amp;L</w:t>
            </w:r>
          </w:p>
        </w:tc>
        <w:tc>
          <w:tcPr>
            <w:tcW w:type="dxa" w:w="6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Pulls Revenue (Sales) − COGS (Recipes×Sales) = Gross Profit, minus Expenses = Net Profit.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4712A" w:sz="18"/>
              <w:bottom w:val="single" w:color="DDDDDD" w:sz="1"/>
              <w:right w:val="single" w:color="DDDDDD" w:sz="1"/>
            </w:tcBorders>
            <w:shd w:fill="FDEBDD" w:val="clear"/>
            <w:tcMar>
              <w:top w:type="dxa" w:w="100"/>
              <w:left w:type="dxa" w:w="160"/>
              <w:bottom w:type="dxa" w:w="100"/>
              <w:right w:type="dxa" w:w="140"/>
            </w:tcMar>
          </w:tcPr>
          <w:p>
            <w:pPr>
              <w:spacing w:after="60"/>
            </w:pPr>
            <w:r>
              <w:rPr>
                <w:b/>
                <w:bCs/>
                <w:color w:val="E4712A"/>
              </w:rPr>
              <w:t xml:space="preserve">The golden rule of setup order</w:t>
            </w:r>
          </w:p>
          <w:p>
            <w:pPr>
              <w:spacing w:after="40"/>
            </w:pPr>
            <w:r>
              <w:rPr>
                <w:sz w:val="20"/>
                <w:szCs w:val="20"/>
              </w:rPr>
              <w:t xml:space="preserve">Build masters top-down: Units → Categories → Vendors → Items → Recipes. An Item needs a Unit and Category to exist first; a Recipe needs its Items first; a Purchase needs a Vendor and Items first. Follow the order and nothing will be missing when you need it.</w:t>
            </w:r>
          </w:p>
        </w:tc>
      </w:tr>
    </w:tbl>
    <w:p>
      <w:r>
        <w:br w:type="page"/>
      </w:r>
    </w:p>
    <w:p>
      <w:pPr>
        <w:pStyle w:val="Heading1"/>
      </w:pPr>
      <w:r>
        <w:t xml:space="preserve">The worked example we’ll follow</w:t>
      </w:r>
    </w:p>
    <w:p>
      <w:pPr>
        <w:spacing w:after="120" w:before="0"/>
      </w:pPr>
      <w:r>
        <w:t xml:space="preserve">To make the linkage concrete, we’ll set up one small café and follow its numbers all the way to a monthly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F2937" w:val="clear"/>
            <w:tcMar>
              <w:top w:type="dxa" w:w="60"/>
              <w:left w:type="dxa" w:w="110"/>
              <w:bottom w:type="dxa" w:w="60"/>
              <w:right w:type="dxa" w:w="110"/>
            </w:tcMar>
          </w:tcPr>
          <w:p>
            <w:pPr>
              <w:jc w:val="left"/>
            </w:pPr>
            <w:r>
              <w:rPr>
                <w:b/>
                <w:bCs/>
                <w:color w:val="FFFFFF"/>
                <w:sz w:val="19"/>
                <w:szCs w:val="19"/>
              </w:rPr>
              <w:t xml:space="preserve">Detail</w:t>
            </w:r>
          </w:p>
        </w:tc>
        <w:tc>
          <w:tcPr>
            <w:tcW w:type="dxa" w:w="6360"/>
            <w:tcBorders>
              <w:top w:val="single" w:color="DDDDDD" w:sz="1"/>
              <w:left w:val="single" w:color="DDDDDD" w:sz="1"/>
              <w:bottom w:val="single" w:color="DDDDDD" w:sz="1"/>
              <w:right w:val="single" w:color="DDDDDD" w:sz="1"/>
            </w:tcBorders>
            <w:shd w:fill="1F2937" w:val="clear"/>
            <w:tcMar>
              <w:top w:type="dxa" w:w="60"/>
              <w:left w:type="dxa" w:w="110"/>
              <w:bottom w:type="dxa" w:w="60"/>
              <w:right w:type="dxa" w:w="110"/>
            </w:tcMar>
          </w:tcPr>
          <w:p>
            <w:pPr>
              <w:jc w:val="right"/>
            </w:pPr>
            <w:r>
              <w:rPr>
                <w:b/>
                <w:bCs/>
                <w:color w:val="FFFFFF"/>
                <w:sz w:val="19"/>
                <w:szCs w:val="19"/>
              </w:rPr>
              <w:t xml:space="preserve">Value</w:t>
            </w:r>
          </w:p>
        </w:tc>
      </w:tr>
      <w:tr>
        <w:tc>
          <w:tcPr>
            <w:tcW w:type="dxa" w:w="30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Business</w:t>
            </w:r>
          </w:p>
        </w:tc>
        <w:tc>
          <w:tcPr>
            <w:tcW w:type="dxa" w:w="63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Strictly Desserts — café, Anna Nagar, Chennai</w:t>
            </w:r>
          </w:p>
        </w:tc>
      </w:tr>
      <w:tr>
        <w:tc>
          <w:tcPr>
            <w:tcW w:type="dxa" w:w="30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GST state code</w:t>
            </w:r>
          </w:p>
        </w:tc>
        <w:tc>
          <w:tcPr>
            <w:tcW w:type="dxa" w:w="63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33 (Tamil Nadu)</w:t>
            </w:r>
          </w:p>
        </w:tc>
      </w:tr>
      <w:tr>
        <w:tc>
          <w:tcPr>
            <w:tcW w:type="dxa" w:w="30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Menu (Sales items)</w:t>
            </w:r>
          </w:p>
        </w:tc>
        <w:tc>
          <w:tcPr>
            <w:tcW w:type="dxa" w:w="63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Cappuccino – sold at ₹120   ·   Chocolate Brownie – sold at ₹150</w:t>
            </w:r>
          </w:p>
        </w:tc>
      </w:tr>
      <w:tr>
        <w:tc>
          <w:tcPr>
            <w:tcW w:type="dxa" w:w="30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Buys from (Vendor)</w:t>
            </w:r>
          </w:p>
        </w:tc>
        <w:tc>
          <w:tcPr>
            <w:tcW w:type="dxa" w:w="63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Chennai Fresh Supplies (also state 33 → CGST + SGST)</w:t>
            </w:r>
          </w:p>
        </w:tc>
      </w:tr>
      <w:tr>
        <w:tc>
          <w:tcPr>
            <w:tcW w:type="dxa" w:w="30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Operating days / month</w:t>
            </w:r>
          </w:p>
        </w:tc>
        <w:tc>
          <w:tcPr>
            <w:tcW w:type="dxa" w:w="63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26</w:t>
            </w:r>
          </w:p>
        </w:tc>
      </w:tr>
    </w:tbl>
    <w:p>
      <w:pPr>
        <w:pStyle w:val="Heading1"/>
      </w:pPr>
      <w:r>
        <w:t xml:space="preserve">Step 1  ·  Units of Measure (UOM)</w:t>
      </w:r>
    </w:p>
    <w:p>
      <w:pPr>
        <w:spacing w:after="120" w:before="0"/>
      </w:pPr>
      <w:r>
        <w:t xml:space="preserve">Units are how you count things. Create the base units you buy and cook in. Go to Units (UOM) → type a name + short form →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Unit</w:t>
            </w:r>
          </w:p>
        </w:tc>
        <w:tc>
          <w:tcPr>
            <w:tcW w:type="dxa" w:w="46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Short</w:t>
            </w:r>
          </w:p>
        </w:tc>
      </w:tr>
      <w:tr>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Kilogram</w:t>
            </w:r>
          </w:p>
        </w:tc>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kg</w:t>
            </w:r>
          </w:p>
        </w:tc>
      </w:tr>
      <w:tr>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Gram</w:t>
            </w:r>
          </w:p>
        </w:tc>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g</w:t>
            </w:r>
          </w:p>
        </w:tc>
      </w:tr>
      <w:tr>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Litre</w:t>
            </w:r>
          </w:p>
        </w:tc>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ltr</w:t>
            </w:r>
          </w:p>
        </w:tc>
      </w:tr>
      <w:tr>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Millilitre</w:t>
            </w:r>
          </w:p>
        </w:tc>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ml</w:t>
            </w:r>
          </w:p>
        </w:tc>
      </w:tr>
      <w:tr>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Pieces</w:t>
            </w:r>
          </w:p>
        </w:tc>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pcs</w:t>
            </w:r>
          </w:p>
        </w:tc>
      </w:tr>
    </w:tbl>
    <w:p>
      <w:pPr>
        <w:spacing w:after="120" w:before="0"/>
      </w:pPr>
      <w:r>
        <w:rPr>
          <w:i/>
          <w:iCs/>
          <w:color w:val="6B7280"/>
          <w:sz w:val="19"/>
          <w:szCs w:val="19"/>
        </w:rPr>
        <w:t xml:space="preserve">Tip: buy in big units (kg, ltr) but cook in small units (g, ml). Romancham converts between them, so a recipe using “150 ml” correctly draws down stock you bought in litres.</w:t>
      </w:r>
    </w:p>
    <w:p>
      <w:pPr>
        <w:pStyle w:val="Heading1"/>
      </w:pPr>
      <w:r>
        <w:t xml:space="preserve">Step 2  ·  Categories</w:t>
      </w:r>
    </w:p>
    <w:p>
      <w:pPr>
        <w:spacing w:after="120" w:before="0"/>
      </w:pPr>
      <w:r>
        <w:t xml:space="preserve">Categories group your items for reports and filtering. Go to Categories → add each one. You can Edit or Delete any category later (deleting is safe — past records keep their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Category</w:t>
            </w:r>
          </w:p>
        </w:tc>
        <w:tc>
          <w:tcPr>
            <w:tcW w:type="dxa" w:w="46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Used for</w:t>
            </w:r>
          </w:p>
        </w:tc>
      </w:tr>
      <w:tr>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Dairy</w:t>
            </w:r>
          </w:p>
        </w:tc>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Milk, butter, cream</w:t>
            </w:r>
          </w:p>
        </w:tc>
      </w:tr>
      <w:tr>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Bakery</w:t>
            </w:r>
          </w:p>
        </w:tc>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Flour, cocoa, sugar</w:t>
            </w:r>
          </w:p>
        </w:tc>
      </w:tr>
      <w:tr>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Beverages</w:t>
            </w:r>
          </w:p>
        </w:tc>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Coffee, tea, syrups</w:t>
            </w:r>
          </w:p>
        </w:tc>
      </w:tr>
      <w:tr>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Packaging</w:t>
            </w:r>
          </w:p>
        </w:tc>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Cups, boxes, bags</w:t>
            </w:r>
          </w:p>
        </w:tc>
      </w:tr>
    </w:tbl>
    <w:p>
      <w:pPr>
        <w:spacing w:after="120" w:before="0"/>
      </w:pPr>
      <w:r>
        <w:t xml:space="preserve">Expense categories are separate and managed on the Expenses page (Rent, Salaries, Utilities…).</w:t>
      </w:r>
    </w:p>
    <w:p>
      <w:pPr>
        <w:pStyle w:val="Heading1"/>
      </w:pPr>
      <w:r>
        <w:t xml:space="preserve">Step 3  ·  Vendors (suppliers)</w:t>
      </w:r>
    </w:p>
    <w:p>
      <w:pPr>
        <w:spacing w:after="120" w:before="0"/>
      </w:pPr>
      <w:r>
        <w:t xml:space="preserve">A Vendor is anyone you buy stock from. Go to Vendors → + Add Vendor. The vendor’s state code is important — it decides how GST is split on every bill from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60"/>
              <w:left w:type="dxa" w:w="110"/>
              <w:bottom w:type="dxa" w:w="60"/>
              <w:right w:type="dxa" w:w="110"/>
            </w:tcMar>
          </w:tcPr>
          <w:p>
            <w:pPr>
              <w:jc w:val="left"/>
            </w:pPr>
            <w:r>
              <w:rPr>
                <w:b/>
                <w:bCs/>
                <w:color w:val="FFFFFF"/>
                <w:sz w:val="19"/>
                <w:szCs w:val="19"/>
              </w:rPr>
              <w:t xml:space="preserve">Field</w:t>
            </w:r>
          </w:p>
        </w:tc>
        <w:tc>
          <w:tcPr>
            <w:tcW w:type="dxa" w:w="6960"/>
            <w:tcBorders>
              <w:top w:val="single" w:color="DDDDDD" w:sz="1"/>
              <w:left w:val="single" w:color="DDDDDD" w:sz="1"/>
              <w:bottom w:val="single" w:color="DDDDDD" w:sz="1"/>
              <w:right w:val="single" w:color="DDDDDD" w:sz="1"/>
            </w:tcBorders>
            <w:shd w:fill="1F2937" w:val="clear"/>
            <w:tcMar>
              <w:top w:type="dxa" w:w="60"/>
              <w:left w:type="dxa" w:w="110"/>
              <w:bottom w:type="dxa" w:w="60"/>
              <w:right w:type="dxa" w:w="110"/>
            </w:tcMar>
          </w:tcPr>
          <w:p>
            <w:pPr>
              <w:jc w:val="right"/>
            </w:pPr>
            <w:r>
              <w:rPr>
                <w:b/>
                <w:bCs/>
                <w:color w:val="FFFFFF"/>
                <w:sz w:val="19"/>
                <w:szCs w:val="19"/>
              </w:rPr>
              <w:t xml:space="preserve">What to enter (example)</w:t>
            </w:r>
          </w:p>
        </w:tc>
      </w:tr>
      <w:tr>
        <w:tc>
          <w:tcPr>
            <w:tcW w:type="dxa" w:w="24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Vendor name</w:t>
            </w:r>
          </w:p>
        </w:tc>
        <w:tc>
          <w:tcPr>
            <w:tcW w:type="dxa" w:w="69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Chennai Fresh Supplies</w:t>
            </w:r>
          </w:p>
        </w:tc>
      </w:tr>
      <w:tr>
        <w:tc>
          <w:tcPr>
            <w:tcW w:type="dxa" w:w="24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GSTIN</w:t>
            </w:r>
          </w:p>
        </w:tc>
        <w:tc>
          <w:tcPr>
            <w:tcW w:type="dxa" w:w="69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33ABCDE1234F1Z5 (optional, 15 chars)</w:t>
            </w:r>
          </w:p>
        </w:tc>
      </w:tr>
      <w:tr>
        <w:tc>
          <w:tcPr>
            <w:tcW w:type="dxa" w:w="24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State code</w:t>
            </w:r>
          </w:p>
        </w:tc>
        <w:tc>
          <w:tcPr>
            <w:tcW w:type="dxa" w:w="69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33  → same as your branch, so bills use CGST + SGST</w:t>
            </w:r>
          </w:p>
        </w:tc>
      </w:tr>
      <w:tr>
        <w:tc>
          <w:tcPr>
            <w:tcW w:type="dxa" w:w="24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Phone / Email</w:t>
            </w:r>
          </w:p>
        </w:tc>
        <w:tc>
          <w:tcPr>
            <w:tcW w:type="dxa" w:w="69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Contact details (optional)</w:t>
            </w:r>
          </w:p>
        </w:tc>
      </w:tr>
      <w:tr>
        <w:tc>
          <w:tcPr>
            <w:tcW w:type="dxa" w:w="24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Payment terms (days)</w:t>
            </w:r>
          </w:p>
        </w:tc>
        <w:tc>
          <w:tcPr>
            <w:tcW w:type="dxa" w:w="69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0 = pay now (petty cash),  30 = 30-day credit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4712A" w:sz="18"/>
              <w:bottom w:val="single" w:color="DDDDDD" w:sz="1"/>
              <w:right w:val="single" w:color="DDDDDD" w:sz="1"/>
            </w:tcBorders>
            <w:shd w:fill="FDEBDD" w:val="clear"/>
            <w:tcMar>
              <w:top w:type="dxa" w:w="100"/>
              <w:left w:type="dxa" w:w="160"/>
              <w:bottom w:type="dxa" w:w="100"/>
              <w:right w:type="dxa" w:w="140"/>
            </w:tcMar>
          </w:tcPr>
          <w:p>
            <w:pPr>
              <w:spacing w:after="60"/>
            </w:pPr>
            <w:r>
              <w:rPr>
                <w:b/>
                <w:bCs/>
                <w:color w:val="E4712A"/>
              </w:rPr>
              <w:t xml:space="preserve">Why the vendor state matters (GST)</w:t>
            </w:r>
          </w:p>
          <w:p>
            <w:pPr>
              <w:spacing w:after="40"/>
            </w:pPr>
            <w:r>
              <w:rPr>
                <w:sz w:val="20"/>
                <w:szCs w:val="20"/>
              </w:rPr>
              <w:t xml:space="preserve">Same state as your branch (33 = 33)  →  tax is split CGST + SGST (half each).</w:t>
            </w:r>
          </w:p>
          <w:p>
            <w:pPr>
              <w:spacing w:after="40"/>
            </w:pPr>
            <w:r>
              <w:rPr>
                <w:sz w:val="20"/>
                <w:szCs w:val="20"/>
              </w:rPr>
              <w:t xml:space="preserve">Different state (e.g. vendor 29, you 33)  →  tax is charged as IGST (full rate).</w:t>
            </w:r>
          </w:p>
          <w:p>
            <w:pPr>
              <w:spacing w:after="40"/>
            </w:pPr>
            <w:r>
              <w:rPr>
                <w:sz w:val="20"/>
                <w:szCs w:val="20"/>
              </w:rPr>
              <w:t xml:space="preserve">Romancham does this split automatically when you post a purchase — you never calculate it by hand.</w:t>
            </w:r>
          </w:p>
        </w:tc>
      </w:tr>
    </w:tbl>
    <w:p>
      <w:r>
        <w:br w:type="page"/>
      </w:r>
    </w:p>
    <w:p>
      <w:pPr>
        <w:pStyle w:val="Heading1"/>
      </w:pPr>
      <w:r>
        <w:t xml:space="preserve">Step 4  ·  Item master (Ingredients)</w:t>
      </w:r>
    </w:p>
    <w:p>
      <w:pPr>
        <w:spacing w:after="120" w:before="0"/>
      </w:pPr>
      <w:r>
        <w:t xml:space="preserve">Items live under Ingredients. Every item has a Type:</w:t>
      </w:r>
    </w:p>
    <w:p>
      <w:pPr>
        <w:pStyle w:val="ListParagraph"/>
        <w:numPr>
          <w:ilvl w:val="0"/>
          <w:numId w:val="2"/>
        </w:numPr>
        <w:spacing w:after="70"/>
      </w:pPr>
      <w:r>
        <w:t xml:space="preserve">Purchase item — something you BUY (Milk, Flour, Coffee). It has stock and a cost.</w:t>
      </w:r>
    </w:p>
    <w:p>
      <w:pPr>
        <w:pStyle w:val="ListParagraph"/>
        <w:numPr>
          <w:ilvl w:val="0"/>
          <w:numId w:val="2"/>
        </w:numPr>
        <w:spacing w:after="70"/>
      </w:pPr>
      <w:r>
        <w:t xml:space="preserve">Sales item — something you SELL (Cappuccino, Brownie). It has a menu price and a recipe.</w:t>
      </w:r>
    </w:p>
    <w:p>
      <w:pPr>
        <w:spacing w:after="120" w:before="0"/>
      </w:pPr>
      <w:r>
        <w:t xml:space="preserve">For each item pick its Unit, Category, default Vendor, and default GST %. This is what auto-fills your purchase and recipe screens later.</w:t>
      </w:r>
    </w:p>
    <w:p>
      <w:pPr>
        <w:pStyle w:val="Heading2"/>
      </w:pPr>
      <w:r>
        <w:t xml:space="preserve">Purchase items for our café (with their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1500"/>
        <w:gridCol w:w="2960"/>
      </w:tblGrid>
      <w:tr>
        <w:trPr>
          <w:tblHeader/>
        </w:trPr>
        <w:tc>
          <w:tcPr>
            <w:tcW w:type="dxa" w:w="22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Item</w:t>
            </w:r>
          </w:p>
        </w:tc>
        <w:tc>
          <w:tcPr>
            <w:tcW w:type="dxa" w:w="15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Category</w:t>
            </w:r>
          </w:p>
        </w:tc>
        <w:tc>
          <w:tcPr>
            <w:tcW w:type="dxa" w:w="12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Base unit</w:t>
            </w:r>
          </w:p>
        </w:tc>
        <w:tc>
          <w:tcPr>
            <w:tcW w:type="dxa" w:w="15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GST %</w:t>
            </w:r>
          </w:p>
        </w:tc>
        <w:tc>
          <w:tcPr>
            <w:tcW w:type="dxa" w:w="296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Cost (ex-GST)</w:t>
            </w:r>
          </w:p>
        </w:tc>
      </w:tr>
      <w:tr>
        <w:tc>
          <w:tcPr>
            <w:tcW w:type="dxa" w:w="2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Milk</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Dairy</w:t>
            </w:r>
          </w:p>
        </w:tc>
        <w:tc>
          <w:tcPr>
            <w:tcW w:type="dxa" w:w="1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ml</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5%</w:t>
            </w:r>
          </w:p>
        </w:tc>
        <w:tc>
          <w:tcPr>
            <w:tcW w:type="dxa" w:w="29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₹0.06 / ml  (₹60/ltr)</w:t>
            </w:r>
          </w:p>
        </w:tc>
      </w:tr>
      <w:tr>
        <w:tc>
          <w:tcPr>
            <w:tcW w:type="dxa" w:w="22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Coffee beans</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Beverages</w:t>
            </w:r>
          </w:p>
        </w:tc>
        <w:tc>
          <w:tcPr>
            <w:tcW w:type="dxa" w:w="12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g</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5%</w:t>
            </w:r>
          </w:p>
        </w:tc>
        <w:tc>
          <w:tcPr>
            <w:tcW w:type="dxa" w:w="29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₹1.20 / g  (₹1,200/kg)</w:t>
            </w:r>
          </w:p>
        </w:tc>
      </w:tr>
      <w:tr>
        <w:tc>
          <w:tcPr>
            <w:tcW w:type="dxa" w:w="2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Flour</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Bakery</w:t>
            </w:r>
          </w:p>
        </w:tc>
        <w:tc>
          <w:tcPr>
            <w:tcW w:type="dxa" w:w="1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g</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5%</w:t>
            </w:r>
          </w:p>
        </w:tc>
        <w:tc>
          <w:tcPr>
            <w:tcW w:type="dxa" w:w="29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₹0.04 / g  (₹40/kg)</w:t>
            </w:r>
          </w:p>
        </w:tc>
      </w:tr>
      <w:tr>
        <w:tc>
          <w:tcPr>
            <w:tcW w:type="dxa" w:w="22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Sugar</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Bakery</w:t>
            </w:r>
          </w:p>
        </w:tc>
        <w:tc>
          <w:tcPr>
            <w:tcW w:type="dxa" w:w="12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g</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5%</w:t>
            </w:r>
          </w:p>
        </w:tc>
        <w:tc>
          <w:tcPr>
            <w:tcW w:type="dxa" w:w="29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₹0.045 / g  (₹45/kg)</w:t>
            </w:r>
          </w:p>
        </w:tc>
      </w:tr>
      <w:tr>
        <w:tc>
          <w:tcPr>
            <w:tcW w:type="dxa" w:w="2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Butter</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Dairy</w:t>
            </w:r>
          </w:p>
        </w:tc>
        <w:tc>
          <w:tcPr>
            <w:tcW w:type="dxa" w:w="1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g</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12%</w:t>
            </w:r>
          </w:p>
        </w:tc>
        <w:tc>
          <w:tcPr>
            <w:tcW w:type="dxa" w:w="29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₹0.50 / g  (₹500/kg)</w:t>
            </w:r>
          </w:p>
        </w:tc>
      </w:tr>
      <w:tr>
        <w:tc>
          <w:tcPr>
            <w:tcW w:type="dxa" w:w="22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Cocoa</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Bakery</w:t>
            </w:r>
          </w:p>
        </w:tc>
        <w:tc>
          <w:tcPr>
            <w:tcW w:type="dxa" w:w="12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g</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18%</w:t>
            </w:r>
          </w:p>
        </w:tc>
        <w:tc>
          <w:tcPr>
            <w:tcW w:type="dxa" w:w="29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₹0.80 / g  (₹800/kg)</w:t>
            </w:r>
          </w:p>
        </w:tc>
      </w:tr>
    </w:tbl>
    <w:p>
      <w:pPr>
        <w:pStyle w:val="Heading2"/>
      </w:pPr>
      <w:r>
        <w:t xml:space="preserve">Sales items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Sales item</w:t>
            </w:r>
          </w:p>
        </w:tc>
        <w:tc>
          <w:tcPr>
            <w:tcW w:type="dxa" w:w="312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Menu price</w:t>
            </w:r>
          </w:p>
        </w:tc>
        <w:tc>
          <w:tcPr>
            <w:tcW w:type="dxa" w:w="312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Recipe defined in Step 6</w:t>
            </w:r>
          </w:p>
        </w:tc>
      </w:tr>
      <w:tr>
        <w:tc>
          <w:tcPr>
            <w:tcW w:type="dxa" w:w="312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Cappuccino</w:t>
            </w:r>
          </w:p>
        </w:tc>
        <w:tc>
          <w:tcPr>
            <w:tcW w:type="dxa" w:w="312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₹120</w:t>
            </w:r>
          </w:p>
        </w:tc>
        <w:tc>
          <w:tcPr>
            <w:tcW w:type="dxa" w:w="312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Milk 150 ml + Coffee 18 g</w:t>
            </w:r>
          </w:p>
        </w:tc>
      </w:tr>
      <w:tr>
        <w:tc>
          <w:tcPr>
            <w:tcW w:type="dxa" w:w="312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Chocolate Brownie</w:t>
            </w:r>
          </w:p>
        </w:tc>
        <w:tc>
          <w:tcPr>
            <w:tcW w:type="dxa" w:w="312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₹150</w:t>
            </w:r>
          </w:p>
        </w:tc>
        <w:tc>
          <w:tcPr>
            <w:tcW w:type="dxa" w:w="312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Flour 60 g + Sugar 40 g + Butter 30 g + Cocoa 15 g</w:t>
            </w:r>
          </w:p>
        </w:tc>
      </w:tr>
    </w:tbl>
    <w:p>
      <w:r>
        <w:br w:type="page"/>
      </w:r>
    </w:p>
    <w:p>
      <w:pPr>
        <w:pStyle w:val="Heading1"/>
      </w:pPr>
      <w:r>
        <w:t xml:space="preserve">Step 5  ·  Order management — Purchase orders (stock IN)</w:t>
      </w:r>
    </w:p>
    <w:p>
      <w:pPr>
        <w:spacing w:after="120" w:before="0"/>
      </w:pPr>
      <w:r>
        <w:t xml:space="preserve">A Purchase records a supplier bill. Go to Purchases → + New Purchase. Pick the vendor, invoice no, date, and whether it’s Petty cash (paid now) or Credit (pay later per the vendor’s terms). Then add line items — choosing the product auto-fills its category, unit, GST % and last price.</w:t>
      </w:r>
    </w:p>
    <w:p>
      <w:pPr>
        <w:spacing w:after="120" w:before="0"/>
      </w:pPr>
      <w:r>
        <w:t xml:space="preserve">Here is a real opening bill from Chennai Fresh Supplies. Notice each item can carry a different GST rate, and the CGST/SGST split is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500"/>
        <w:gridCol w:w="1400"/>
        <w:gridCol w:w="1300"/>
        <w:gridCol w:w="2310"/>
      </w:tblGrid>
      <w:tr>
        <w:trPr>
          <w:tblHeader/>
        </w:trPr>
        <w:tc>
          <w:tcPr>
            <w:tcW w:type="dxa" w:w="17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Item</w:t>
            </w:r>
          </w:p>
        </w:tc>
        <w:tc>
          <w:tcPr>
            <w:tcW w:type="dxa" w:w="115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Qty</w:t>
            </w:r>
          </w:p>
        </w:tc>
        <w:tc>
          <w:tcPr>
            <w:tcW w:type="dxa" w:w="15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Rate</w:t>
            </w:r>
          </w:p>
        </w:tc>
        <w:tc>
          <w:tcPr>
            <w:tcW w:type="dxa" w:w="14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Value</w:t>
            </w:r>
          </w:p>
        </w:tc>
        <w:tc>
          <w:tcPr>
            <w:tcW w:type="dxa" w:w="13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GST</w:t>
            </w:r>
          </w:p>
        </w:tc>
        <w:tc>
          <w:tcPr>
            <w:tcW w:type="dxa" w:w="231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Line total</w:t>
            </w:r>
          </w:p>
        </w:tc>
      </w:tr>
      <w:tr>
        <w:tc>
          <w:tcPr>
            <w:tcW w:type="dxa" w:w="17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Milk</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20 ltr</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₹60</w:t>
            </w:r>
          </w:p>
        </w:tc>
        <w:tc>
          <w:tcPr>
            <w:tcW w:type="dxa" w:w="14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₹1,200</w:t>
            </w:r>
          </w:p>
        </w:tc>
        <w:tc>
          <w:tcPr>
            <w:tcW w:type="dxa" w:w="13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5% = ₹60</w:t>
            </w:r>
          </w:p>
        </w:tc>
        <w:tc>
          <w:tcPr>
            <w:tcW w:type="dxa" w:w="231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₹1,260</w:t>
            </w:r>
          </w:p>
        </w:tc>
      </w:tr>
      <w:tr>
        <w:tc>
          <w:tcPr>
            <w:tcW w:type="dxa" w:w="17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Coffee beans</w:t>
            </w:r>
          </w:p>
        </w:tc>
        <w:tc>
          <w:tcPr>
            <w:tcW w:type="dxa" w:w="115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 kg</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₹1,200</w:t>
            </w:r>
          </w:p>
        </w:tc>
        <w:tc>
          <w:tcPr>
            <w:tcW w:type="dxa" w:w="14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₹2,400</w:t>
            </w:r>
          </w:p>
        </w:tc>
        <w:tc>
          <w:tcPr>
            <w:tcW w:type="dxa" w:w="13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5% = ₹120</w:t>
            </w:r>
          </w:p>
        </w:tc>
        <w:tc>
          <w:tcPr>
            <w:tcW w:type="dxa" w:w="231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₹2,520</w:t>
            </w:r>
          </w:p>
        </w:tc>
      </w:tr>
      <w:tr>
        <w:tc>
          <w:tcPr>
            <w:tcW w:type="dxa" w:w="17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Flour</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10 kg</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₹40</w:t>
            </w:r>
          </w:p>
        </w:tc>
        <w:tc>
          <w:tcPr>
            <w:tcW w:type="dxa" w:w="14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₹400</w:t>
            </w:r>
          </w:p>
        </w:tc>
        <w:tc>
          <w:tcPr>
            <w:tcW w:type="dxa" w:w="13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5% = ₹20</w:t>
            </w:r>
          </w:p>
        </w:tc>
        <w:tc>
          <w:tcPr>
            <w:tcW w:type="dxa" w:w="231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₹420</w:t>
            </w:r>
          </w:p>
        </w:tc>
      </w:tr>
      <w:tr>
        <w:tc>
          <w:tcPr>
            <w:tcW w:type="dxa" w:w="17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Sugar</w:t>
            </w:r>
          </w:p>
        </w:tc>
        <w:tc>
          <w:tcPr>
            <w:tcW w:type="dxa" w:w="115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10 kg</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₹45</w:t>
            </w:r>
          </w:p>
        </w:tc>
        <w:tc>
          <w:tcPr>
            <w:tcW w:type="dxa" w:w="14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₹450</w:t>
            </w:r>
          </w:p>
        </w:tc>
        <w:tc>
          <w:tcPr>
            <w:tcW w:type="dxa" w:w="13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5% = ₹22.50</w:t>
            </w:r>
          </w:p>
        </w:tc>
        <w:tc>
          <w:tcPr>
            <w:tcW w:type="dxa" w:w="231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₹472.50</w:t>
            </w:r>
          </w:p>
        </w:tc>
      </w:tr>
      <w:tr>
        <w:tc>
          <w:tcPr>
            <w:tcW w:type="dxa" w:w="17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Butter</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5 kg</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₹500</w:t>
            </w:r>
          </w:p>
        </w:tc>
        <w:tc>
          <w:tcPr>
            <w:tcW w:type="dxa" w:w="14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₹2,500</w:t>
            </w:r>
          </w:p>
        </w:tc>
        <w:tc>
          <w:tcPr>
            <w:tcW w:type="dxa" w:w="13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12% = ₹300</w:t>
            </w:r>
          </w:p>
        </w:tc>
        <w:tc>
          <w:tcPr>
            <w:tcW w:type="dxa" w:w="231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₹2,800</w:t>
            </w:r>
          </w:p>
        </w:tc>
      </w:tr>
      <w:tr>
        <w:tc>
          <w:tcPr>
            <w:tcW w:type="dxa" w:w="17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Cocoa</w:t>
            </w:r>
          </w:p>
        </w:tc>
        <w:tc>
          <w:tcPr>
            <w:tcW w:type="dxa" w:w="115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3 kg</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₹800</w:t>
            </w:r>
          </w:p>
        </w:tc>
        <w:tc>
          <w:tcPr>
            <w:tcW w:type="dxa" w:w="14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₹2,400</w:t>
            </w:r>
          </w:p>
        </w:tc>
        <w:tc>
          <w:tcPr>
            <w:tcW w:type="dxa" w:w="13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18% = ₹432</w:t>
            </w:r>
          </w:p>
        </w:tc>
        <w:tc>
          <w:tcPr>
            <w:tcW w:type="dxa" w:w="231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₹2,832</w:t>
            </w:r>
          </w:p>
        </w:tc>
      </w:tr>
      <w:tr>
        <w:tc>
          <w:tcPr>
            <w:tcW w:type="dxa" w:w="17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TOTAL</w:t>
            </w:r>
          </w:p>
        </w:tc>
        <w:tc>
          <w:tcPr>
            <w:tcW w:type="dxa" w:w="115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
            </w:r>
          </w:p>
        </w:tc>
        <w:tc>
          <w:tcPr>
            <w:tcW w:type="dxa" w:w="14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₹9,350</w:t>
            </w:r>
          </w:p>
        </w:tc>
        <w:tc>
          <w:tcPr>
            <w:tcW w:type="dxa" w:w="13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₹954.50</w:t>
            </w:r>
          </w:p>
        </w:tc>
        <w:tc>
          <w:tcPr>
            <w:tcW w:type="dxa" w:w="231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₹10,304.50</w:t>
            </w:r>
          </w:p>
        </w:tc>
      </w:tr>
    </w:tbl>
    <w:p>
      <w:pPr>
        <w:spacing w:after="120" w:before="0"/>
      </w:pPr>
      <w:r>
        <w:t xml:space="preserve">When you save (post) this purchase, Romancham automatically does three things:</w:t>
      </w:r>
    </w:p>
    <w:p>
      <w:pPr>
        <w:pStyle w:val="ListParagraph"/>
        <w:numPr>
          <w:ilvl w:val="0"/>
          <w:numId w:val="3"/>
        </w:numPr>
        <w:spacing w:after="70"/>
      </w:pPr>
      <w:r>
        <w:t xml:space="preserve">Adds the quantities to Inventory (stock goes up).</w:t>
      </w:r>
    </w:p>
    <w:p>
      <w:pPr>
        <w:pStyle w:val="ListParagraph"/>
        <w:numPr>
          <w:ilvl w:val="0"/>
          <w:numId w:val="3"/>
        </w:numPr>
        <w:spacing w:after="70"/>
      </w:pPr>
      <w:r>
        <w:t xml:space="preserve">Creates FIFO cost layers — it remembers you paid ₹0.06/ml for this batch of milk, so later costing is exact.</w:t>
      </w:r>
    </w:p>
    <w:p>
      <w:pPr>
        <w:pStyle w:val="ListParagraph"/>
        <w:numPr>
          <w:ilvl w:val="0"/>
          <w:numId w:val="3"/>
        </w:numPr>
        <w:spacing w:after="70"/>
      </w:pPr>
      <w:r>
        <w:t xml:space="preserve">Splits the GST (here CGST + SGST because the vendor is in state 33, same as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4712A" w:sz="18"/>
              <w:bottom w:val="single" w:color="DDDDDD" w:sz="1"/>
              <w:right w:val="single" w:color="DDDDDD" w:sz="1"/>
            </w:tcBorders>
            <w:shd w:fill="FDEBDD" w:val="clear"/>
            <w:tcMar>
              <w:top w:type="dxa" w:w="100"/>
              <w:left w:type="dxa" w:w="160"/>
              <w:bottom w:type="dxa" w:w="100"/>
              <w:right w:type="dxa" w:w="140"/>
            </w:tcMar>
          </w:tcPr>
          <w:p>
            <w:pPr>
              <w:spacing w:after="60"/>
            </w:pPr>
            <w:r>
              <w:rPr>
                <w:b/>
                <w:bCs/>
                <w:color w:val="E4712A"/>
              </w:rPr>
              <w:t xml:space="preserve">Petty cash vs Credit — the purchase-order lifecycle</w:t>
            </w:r>
          </w:p>
          <w:p>
            <w:pPr>
              <w:spacing w:after="40"/>
            </w:pPr>
            <w:r>
              <w:rPr>
                <w:sz w:val="20"/>
                <w:szCs w:val="20"/>
              </w:rPr>
              <w:t xml:space="preserve">Petty cash: money left immediately. Use for daily market buys.</w:t>
            </w:r>
          </w:p>
          <w:p>
            <w:pPr>
              <w:spacing w:after="40"/>
            </w:pPr>
            <w:r>
              <w:rPr>
                <w:sz w:val="20"/>
                <w:szCs w:val="20"/>
              </w:rPr>
              <w:t xml:space="preserve">Credit: the bill is recorded now but paid later, according to the vendor’s payment-terms days. This is how you track what you owe suppliers.</w:t>
            </w:r>
          </w:p>
          <w:p>
            <w:pPr>
              <w:spacing w:after="40"/>
            </w:pPr>
            <w:r>
              <w:rPr>
                <w:sz w:val="20"/>
                <w:szCs w:val="20"/>
              </w:rPr>
              <w:t xml:space="preserve">Either way, stock and cost update the moment you post — payment timing does not change your inventory.</w:t>
            </w:r>
          </w:p>
        </w:tc>
      </w:tr>
    </w:tbl>
    <w:p>
      <w:pPr>
        <w:pStyle w:val="Heading1"/>
      </w:pPr>
      <w:r>
        <w:t xml:space="preserve">Step 6  ·  Inventory (FIFO) — what you now have</w:t>
      </w:r>
    </w:p>
    <w:p>
      <w:pPr>
        <w:spacing w:after="120" w:before="0"/>
      </w:pPr>
      <w:r>
        <w:t xml:space="preserve">You don’t enter anything here — Inventory is the running result of Purchases (in) and Sales (out). After the bill above, the Inventory screen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430"/>
        <w:gridCol w:w="2430"/>
      </w:tblGrid>
      <w:tr>
        <w:trPr>
          <w:tblHeader/>
        </w:trPr>
        <w:tc>
          <w:tcPr>
            <w:tcW w:type="dxa" w:w="26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Item</w:t>
            </w:r>
          </w:p>
        </w:tc>
        <w:tc>
          <w:tcPr>
            <w:tcW w:type="dxa" w:w="19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In hand</w:t>
            </w:r>
          </w:p>
        </w:tc>
        <w:tc>
          <w:tcPr>
            <w:tcW w:type="dxa" w:w="243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Stock value (FIFO)</w:t>
            </w:r>
          </w:p>
        </w:tc>
        <w:tc>
          <w:tcPr>
            <w:tcW w:type="dxa" w:w="243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Status</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Milk</w:t>
            </w:r>
          </w:p>
        </w:tc>
        <w:tc>
          <w:tcPr>
            <w:tcW w:type="dxa" w:w="19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20,000 ml</w:t>
            </w:r>
          </w:p>
        </w:tc>
        <w:tc>
          <w:tcPr>
            <w:tcW w:type="dxa" w:w="243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₹1,200</w:t>
            </w:r>
          </w:p>
        </w:tc>
        <w:tc>
          <w:tcPr>
            <w:tcW w:type="dxa" w:w="243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Healthy</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Coffee beans</w:t>
            </w:r>
          </w:p>
        </w:tc>
        <w:tc>
          <w:tcPr>
            <w:tcW w:type="dxa" w:w="19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2,000 g</w:t>
            </w:r>
          </w:p>
        </w:tc>
        <w:tc>
          <w:tcPr>
            <w:tcW w:type="dxa" w:w="243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₹2,400</w:t>
            </w:r>
          </w:p>
        </w:tc>
        <w:tc>
          <w:tcPr>
            <w:tcW w:type="dxa" w:w="243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Healthy</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Butter</w:t>
            </w:r>
          </w:p>
        </w:tc>
        <w:tc>
          <w:tcPr>
            <w:tcW w:type="dxa" w:w="19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5,000 g</w:t>
            </w:r>
          </w:p>
        </w:tc>
        <w:tc>
          <w:tcPr>
            <w:tcW w:type="dxa" w:w="243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₹2,500</w:t>
            </w:r>
          </w:p>
        </w:tc>
        <w:tc>
          <w:tcPr>
            <w:tcW w:type="dxa" w:w="243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Healthy</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w:t>
            </w:r>
          </w:p>
        </w:tc>
        <w:tc>
          <w:tcPr>
            <w:tcW w:type="dxa" w:w="19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w:t>
            </w:r>
          </w:p>
        </w:tc>
        <w:tc>
          <w:tcPr>
            <w:tcW w:type="dxa" w:w="243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w:t>
            </w:r>
          </w:p>
        </w:tc>
        <w:tc>
          <w:tcPr>
            <w:tcW w:type="dxa" w:w="243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w:t>
            </w:r>
          </w:p>
        </w:tc>
      </w:tr>
    </w:tbl>
    <w:p>
      <w:pPr>
        <w:spacing w:after="120" w:before="0"/>
      </w:pPr>
      <w:r>
        <w:t xml:space="preserve">FIFO = First In, First Out. When you sell, the oldest stock is consumed first, at the price you actually paid for that batch. That is what makes your food cost accurate instead of a guess. If stock falls below an item’s reorder level, it shows as Low Stock on the Dashboard.</w:t>
      </w:r>
    </w:p>
    <w:p>
      <w:r>
        <w:br w:type="page"/>
      </w:r>
    </w:p>
    <w:p>
      <w:pPr>
        <w:pStyle w:val="Heading1"/>
      </w:pPr>
      <w:r>
        <w:t xml:space="preserve">Step 7  ·  Recipes (BOM) — turning cost into per-dish cost</w:t>
      </w:r>
    </w:p>
    <w:p>
      <w:pPr>
        <w:spacing w:after="120" w:before="0"/>
      </w:pPr>
      <w:r>
        <w:t xml:space="preserve">A Recipe links a Sales item to the Purchase items it consumes. Go to Recipes and, for each menu item, add its ingredients and quantities. Romancham multiplies each quantity by its FIFO cost to get the recipe cost.</w:t>
      </w:r>
    </w:p>
    <w:p>
      <w:pPr>
        <w:pStyle w:val="Heading2"/>
      </w:pPr>
      <w:r>
        <w:t xml:space="preserve">Cappuccino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Ingredient</w:t>
            </w:r>
          </w:p>
        </w:tc>
        <w:tc>
          <w:tcPr>
            <w:tcW w:type="dxa" w:w="20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Qty</w:t>
            </w:r>
          </w:p>
        </w:tc>
        <w:tc>
          <w:tcPr>
            <w:tcW w:type="dxa" w:w="20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Unit cost</w:t>
            </w:r>
          </w:p>
        </w:tc>
        <w:tc>
          <w:tcPr>
            <w:tcW w:type="dxa" w:w="20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Line cost</w:t>
            </w:r>
          </w:p>
        </w:tc>
      </w:tr>
      <w:tr>
        <w:tc>
          <w:tcPr>
            <w:tcW w:type="dxa" w:w="3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Milk</w:t>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150 ml</w:t>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₹0.06/ml</w:t>
            </w:r>
          </w:p>
        </w:tc>
        <w:tc>
          <w:tcPr>
            <w:tcW w:type="dxa" w:w="20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₹9.00</w:t>
            </w:r>
          </w:p>
        </w:tc>
      </w:tr>
      <w:tr>
        <w:tc>
          <w:tcPr>
            <w:tcW w:type="dxa" w:w="32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Coffee beans</w:t>
            </w:r>
          </w:p>
        </w:tc>
        <w:tc>
          <w:tcPr>
            <w:tcW w:type="dxa" w:w="20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18 g</w:t>
            </w:r>
          </w:p>
        </w:tc>
        <w:tc>
          <w:tcPr>
            <w:tcW w:type="dxa" w:w="20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₹1.20/g</w:t>
            </w:r>
          </w:p>
        </w:tc>
        <w:tc>
          <w:tcPr>
            <w:tcW w:type="dxa" w:w="20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₹21.60</w:t>
            </w:r>
          </w:p>
        </w:tc>
      </w:tr>
      <w:tr>
        <w:tc>
          <w:tcPr>
            <w:tcW w:type="dxa" w:w="3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Recipe cost / cup</w:t>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
            </w:r>
          </w:p>
        </w:tc>
        <w:tc>
          <w:tcPr>
            <w:tcW w:type="dxa" w:w="20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₹30.60</w:t>
            </w:r>
          </w:p>
        </w:tc>
      </w:tr>
    </w:tbl>
    <w:p>
      <w:pPr>
        <w:pStyle w:val="Heading2"/>
      </w:pPr>
      <w:r>
        <w:t xml:space="preserve">Chocolate Brownie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Ingredient</w:t>
            </w:r>
          </w:p>
        </w:tc>
        <w:tc>
          <w:tcPr>
            <w:tcW w:type="dxa" w:w="20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Qty</w:t>
            </w:r>
          </w:p>
        </w:tc>
        <w:tc>
          <w:tcPr>
            <w:tcW w:type="dxa" w:w="20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Unit cost</w:t>
            </w:r>
          </w:p>
        </w:tc>
        <w:tc>
          <w:tcPr>
            <w:tcW w:type="dxa" w:w="20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Line cost</w:t>
            </w:r>
          </w:p>
        </w:tc>
      </w:tr>
      <w:tr>
        <w:tc>
          <w:tcPr>
            <w:tcW w:type="dxa" w:w="3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Flour</w:t>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60 g</w:t>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₹0.04/g</w:t>
            </w:r>
          </w:p>
        </w:tc>
        <w:tc>
          <w:tcPr>
            <w:tcW w:type="dxa" w:w="20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₹2.40</w:t>
            </w:r>
          </w:p>
        </w:tc>
      </w:tr>
      <w:tr>
        <w:tc>
          <w:tcPr>
            <w:tcW w:type="dxa" w:w="32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Sugar</w:t>
            </w:r>
          </w:p>
        </w:tc>
        <w:tc>
          <w:tcPr>
            <w:tcW w:type="dxa" w:w="20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40 g</w:t>
            </w:r>
          </w:p>
        </w:tc>
        <w:tc>
          <w:tcPr>
            <w:tcW w:type="dxa" w:w="20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₹0.045/g</w:t>
            </w:r>
          </w:p>
        </w:tc>
        <w:tc>
          <w:tcPr>
            <w:tcW w:type="dxa" w:w="20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₹1.80</w:t>
            </w:r>
          </w:p>
        </w:tc>
      </w:tr>
      <w:tr>
        <w:tc>
          <w:tcPr>
            <w:tcW w:type="dxa" w:w="3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Butter</w:t>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30 g</w:t>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₹0.50/g</w:t>
            </w:r>
          </w:p>
        </w:tc>
        <w:tc>
          <w:tcPr>
            <w:tcW w:type="dxa" w:w="20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₹15.00</w:t>
            </w:r>
          </w:p>
        </w:tc>
      </w:tr>
      <w:tr>
        <w:tc>
          <w:tcPr>
            <w:tcW w:type="dxa" w:w="32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Cocoa</w:t>
            </w:r>
          </w:p>
        </w:tc>
        <w:tc>
          <w:tcPr>
            <w:tcW w:type="dxa" w:w="20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15 g</w:t>
            </w:r>
          </w:p>
        </w:tc>
        <w:tc>
          <w:tcPr>
            <w:tcW w:type="dxa" w:w="20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₹0.80/g</w:t>
            </w:r>
          </w:p>
        </w:tc>
        <w:tc>
          <w:tcPr>
            <w:tcW w:type="dxa" w:w="20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₹12.00</w:t>
            </w:r>
          </w:p>
        </w:tc>
      </w:tr>
      <w:tr>
        <w:tc>
          <w:tcPr>
            <w:tcW w:type="dxa" w:w="32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Recipe cost / brownie</w:t>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
            </w:r>
          </w:p>
        </w:tc>
        <w:tc>
          <w:tcPr>
            <w:tcW w:type="dxa" w:w="20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
            </w:r>
          </w:p>
        </w:tc>
        <w:tc>
          <w:tcPr>
            <w:tcW w:type="dxa" w:w="20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₹31.20</w:t>
            </w:r>
          </w:p>
        </w:tc>
      </w:tr>
    </w:tbl>
    <w:p>
      <w:pPr>
        <w:spacing w:after="120" w:before="0"/>
      </w:pPr>
      <w:r>
        <w:rPr>
          <w:i/>
          <w:iCs/>
          <w:color w:val="6B7280"/>
          <w:sz w:val="19"/>
          <w:szCs w:val="19"/>
        </w:rPr>
        <w:t xml:space="preserve">These per-unit costs are the engine of your Food Cost %. Change a purchase price and the recipe cost updates the next time you buy — no spreadsheets to maintain.</w:t>
      </w:r>
    </w:p>
    <w:p>
      <w:r>
        <w:br w:type="page"/>
      </w:r>
    </w:p>
    <w:p>
      <w:pPr>
        <w:pStyle w:val="Heading1"/>
      </w:pPr>
      <w:r>
        <w:t xml:space="preserve">Step 8  ·  Order management — Sales orders (stock OUT)</w:t>
      </w:r>
    </w:p>
    <w:p>
      <w:pPr>
        <w:spacing w:after="120" w:before="0"/>
      </w:pPr>
      <w:r>
        <w:t xml:space="preserve">Sales are how revenue and consumption enter the system. Two ways, both on the Sales page:</w:t>
      </w:r>
    </w:p>
    <w:p>
      <w:pPr>
        <w:pStyle w:val="ListParagraph"/>
        <w:numPr>
          <w:ilvl w:val="0"/>
          <w:numId w:val="2"/>
        </w:numPr>
        <w:spacing w:after="70"/>
      </w:pPr>
      <w:r>
        <w:t xml:space="preserve">Upload Petpooja CSV — export your day’s sales from the POS and drop the file in. Re-uploading the same day replaces that day (no duplicates).</w:t>
      </w:r>
    </w:p>
    <w:p>
      <w:pPr>
        <w:pStyle w:val="ListParagraph"/>
        <w:numPr>
          <w:ilvl w:val="0"/>
          <w:numId w:val="2"/>
        </w:numPr>
        <w:spacing w:after="70"/>
      </w:pPr>
      <w:r>
        <w:t xml:space="preserve">Add a sale manually — for one-off sales without a POS export.</w:t>
      </w:r>
    </w:p>
    <w:p>
      <w:pPr>
        <w:spacing w:after="120" w:before="0"/>
      </w:pPr>
      <w:r>
        <w:t xml:space="preserve">When a sale is posted, Romancham reads the item’s recipe, depletes the ingredients from inventory (oldest FIFO layers first), and records the COGS. Over a full month our café sells: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60"/>
        <w:gridCol w:w="1750"/>
        <w:gridCol w:w="1750"/>
      </w:tblGrid>
      <w:tr>
        <w:trPr>
          <w:tblHeader/>
        </w:trPr>
        <w:tc>
          <w:tcPr>
            <w:tcW w:type="dxa" w:w="26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Item</w:t>
            </w:r>
          </w:p>
        </w:tc>
        <w:tc>
          <w:tcPr>
            <w:tcW w:type="dxa" w:w="150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Units</w:t>
            </w:r>
          </w:p>
        </w:tc>
        <w:tc>
          <w:tcPr>
            <w:tcW w:type="dxa" w:w="176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Price</w:t>
            </w:r>
          </w:p>
        </w:tc>
        <w:tc>
          <w:tcPr>
            <w:tcW w:type="dxa" w:w="175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Revenue</w:t>
            </w:r>
          </w:p>
        </w:tc>
        <w:tc>
          <w:tcPr>
            <w:tcW w:type="dxa" w:w="175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COGS</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Cappuccino</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1,040</w:t>
            </w:r>
          </w:p>
        </w:tc>
        <w:tc>
          <w:tcPr>
            <w:tcW w:type="dxa" w:w="1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₹120</w:t>
            </w:r>
          </w:p>
        </w:tc>
        <w:tc>
          <w:tcPr>
            <w:tcW w:type="dxa" w:w="175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₹1,24,800</w:t>
            </w:r>
          </w:p>
        </w:tc>
        <w:tc>
          <w:tcPr>
            <w:tcW w:type="dxa" w:w="175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₹31,824</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Chocolate Brownie</w:t>
            </w:r>
          </w:p>
        </w:tc>
        <w:tc>
          <w:tcPr>
            <w:tcW w:type="dxa" w:w="15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780</w:t>
            </w:r>
          </w:p>
        </w:tc>
        <w:tc>
          <w:tcPr>
            <w:tcW w:type="dxa" w:w="17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₹150</w:t>
            </w:r>
          </w:p>
        </w:tc>
        <w:tc>
          <w:tcPr>
            <w:tcW w:type="dxa" w:w="175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₹1,17,000</w:t>
            </w:r>
          </w:p>
        </w:tc>
        <w:tc>
          <w:tcPr>
            <w:tcW w:type="dxa" w:w="175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₹24,336</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TOTAL</w:t>
            </w:r>
          </w:p>
        </w:tc>
        <w:tc>
          <w:tcPr>
            <w:tcW w:type="dxa" w:w="15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1,820</w:t>
            </w:r>
          </w:p>
        </w:tc>
        <w:tc>
          <w:tcPr>
            <w:tcW w:type="dxa" w:w="1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
            </w:r>
          </w:p>
        </w:tc>
        <w:tc>
          <w:tcPr>
            <w:tcW w:type="dxa" w:w="175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₹2,41,800</w:t>
            </w:r>
          </w:p>
        </w:tc>
        <w:tc>
          <w:tcPr>
            <w:tcW w:type="dxa" w:w="175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₹56,160</w:t>
            </w:r>
          </w:p>
        </w:tc>
      </w:tr>
    </w:tbl>
    <w:p>
      <w:pPr>
        <w:spacing w:after="120" w:before="0"/>
      </w:pPr>
      <w:r>
        <w:t xml:space="preserve">Food Cost % = COGS ÷ Revenue = ₹56,160 ÷ ₹2,41,800 = </w:t>
      </w:r>
      <w:r>
        <w:rPr>
          <w:b/>
          <w:bCs/>
          <w:color w:val="15803D"/>
        </w:rPr>
        <w:t xml:space="preserve">23.2%</w:t>
      </w:r>
      <w:r>
        <w:t xml:space="preserve">  (Healthy — target is under 30%).</w:t>
      </w:r>
    </w:p>
    <w:p>
      <w:pPr>
        <w:pStyle w:val="Heading1"/>
      </w:pPr>
      <w:r>
        <w:t xml:space="preserve">Step 9  ·  Expenses (running costs)</w:t>
      </w:r>
    </w:p>
    <w:p>
      <w:pPr>
        <w:spacing w:after="120" w:before="0"/>
      </w:pPr>
      <w:r>
        <w:t xml:space="preserve">Expenses are everything that isn’t stock. Go to Expenses → pick a category, amount, date and payment method. Manage your own categories with “Manage expense categories”. Our café’s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left"/>
            </w:pPr>
            <w:r>
              <w:rPr>
                <w:b/>
                <w:bCs/>
                <w:color w:val="FFFFFF"/>
                <w:sz w:val="19"/>
                <w:szCs w:val="19"/>
              </w:rPr>
              <w:t xml:space="preserve">Expense category</w:t>
            </w:r>
          </w:p>
        </w:tc>
        <w:tc>
          <w:tcPr>
            <w:tcW w:type="dxa" w:w="4680"/>
            <w:tcBorders>
              <w:top w:val="single" w:color="DDDDDD" w:sz="1"/>
              <w:left w:val="single" w:color="DDDDDD" w:sz="1"/>
              <w:bottom w:val="single" w:color="DDDDDD" w:sz="1"/>
              <w:right w:val="single" w:color="DDDDDD" w:sz="1"/>
            </w:tcBorders>
            <w:shd w:fill="E4712A" w:val="clear"/>
            <w:tcMar>
              <w:top w:type="dxa" w:w="60"/>
              <w:left w:type="dxa" w:w="110"/>
              <w:bottom w:type="dxa" w:w="60"/>
              <w:right w:type="dxa" w:w="110"/>
            </w:tcMar>
          </w:tcPr>
          <w:p>
            <w:pPr>
              <w:jc w:val="right"/>
            </w:pPr>
            <w:r>
              <w:rPr>
                <w:b/>
                <w:bCs/>
                <w:color w:val="FFFFFF"/>
                <w:sz w:val="19"/>
                <w:szCs w:val="19"/>
              </w:rPr>
              <w:t xml:space="preserve">Amount</w:t>
            </w:r>
          </w:p>
        </w:tc>
      </w:tr>
      <w:tr>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Rent</w:t>
            </w:r>
          </w:p>
        </w:tc>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₹40,000</w:t>
            </w:r>
          </w:p>
        </w:tc>
      </w:tr>
      <w:tr>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Salaries</w:t>
            </w:r>
          </w:p>
        </w:tc>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₹80,000</w:t>
            </w:r>
          </w:p>
        </w:tc>
      </w:tr>
      <w:tr>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Utilities (EB, water)</w:t>
            </w:r>
          </w:p>
        </w:tc>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₹12,000</w:t>
            </w:r>
          </w:p>
        </w:tc>
      </w:tr>
      <w:tr>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Marketing (Instagram, creatives)</w:t>
            </w:r>
          </w:p>
        </w:tc>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₹8,000</w:t>
            </w:r>
          </w:p>
        </w:tc>
      </w:tr>
      <w:tr>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Maintenance</w:t>
            </w:r>
          </w:p>
        </w:tc>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₹5,000</w:t>
            </w:r>
          </w:p>
        </w:tc>
      </w:tr>
      <w:tr>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Miscellaneous</w:t>
            </w:r>
          </w:p>
        </w:tc>
        <w:tc>
          <w:tcPr>
            <w:tcW w:type="dxa" w:w="46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₹3,000</w:t>
            </w:r>
          </w:p>
        </w:tc>
      </w:tr>
      <w:tr>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TOTAL EXPENSES</w:t>
            </w:r>
          </w:p>
        </w:tc>
        <w:tc>
          <w:tcPr>
            <w:tcW w:type="dxa" w:w="46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₹1,48,000</w:t>
            </w:r>
          </w:p>
        </w:tc>
      </w:tr>
    </w:tbl>
    <w:p>
      <w:r>
        <w:br w:type="page"/>
      </w:r>
    </w:p>
    <w:p>
      <w:pPr>
        <w:pStyle w:val="Heading1"/>
      </w:pPr>
      <w:r>
        <w:t xml:space="preserve">Step 10  ·  Dashboard → the P&amp;L</w:t>
      </w:r>
    </w:p>
    <w:p>
      <w:pPr>
        <w:spacing w:after="120" w:before="0"/>
      </w:pPr>
      <w:r>
        <w:t xml:space="preserve">Everything now rolls up automatically. This is the monthly P&amp;L Romancham produces from the data you entered above — not a single figure was typed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DDDDDD" w:sz="1"/>
              <w:left w:val="single" w:color="DDDDDD" w:sz="1"/>
              <w:bottom w:val="single" w:color="DDDDDD" w:sz="1"/>
              <w:right w:val="single" w:color="DDDDDD" w:sz="1"/>
            </w:tcBorders>
            <w:shd w:fill="15803D" w:val="clear"/>
            <w:tcMar>
              <w:top w:type="dxa" w:w="60"/>
              <w:left w:type="dxa" w:w="110"/>
              <w:bottom w:type="dxa" w:w="60"/>
              <w:right w:type="dxa" w:w="110"/>
            </w:tcMar>
          </w:tcPr>
          <w:p>
            <w:pPr>
              <w:jc w:val="left"/>
            </w:pPr>
            <w:r>
              <w:rPr>
                <w:b/>
                <w:bCs/>
                <w:color w:val="FFFFFF"/>
                <w:sz w:val="19"/>
                <w:szCs w:val="19"/>
              </w:rPr>
              <w:t xml:space="preserve">Profit &amp; Loss (monthly)</w:t>
            </w:r>
          </w:p>
        </w:tc>
        <w:tc>
          <w:tcPr>
            <w:tcW w:type="dxa" w:w="3600"/>
            <w:tcBorders>
              <w:top w:val="single" w:color="DDDDDD" w:sz="1"/>
              <w:left w:val="single" w:color="DDDDDD" w:sz="1"/>
              <w:bottom w:val="single" w:color="DDDDDD" w:sz="1"/>
              <w:right w:val="single" w:color="DDDDDD" w:sz="1"/>
            </w:tcBorders>
            <w:shd w:fill="15803D" w:val="clear"/>
            <w:tcMar>
              <w:top w:type="dxa" w:w="60"/>
              <w:left w:type="dxa" w:w="110"/>
              <w:bottom w:type="dxa" w:w="60"/>
              <w:right w:type="dxa" w:w="110"/>
            </w:tcMar>
          </w:tcPr>
          <w:p>
            <w:pPr>
              <w:jc w:val="right"/>
            </w:pPr>
            <w:r>
              <w:rPr>
                <w:b/>
                <w:bCs/>
                <w:color w:val="FFFFFF"/>
                <w:sz w:val="19"/>
                <w:szCs w:val="19"/>
              </w:rPr>
              <w:t xml:space="preserve">Amount</w:t>
            </w:r>
          </w:p>
        </w:tc>
      </w:tr>
      <w:tr>
        <w:tc>
          <w:tcPr>
            <w:tcW w:type="dxa" w:w="5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Revenue (from Sales)</w:t>
            </w:r>
          </w:p>
        </w:tc>
        <w:tc>
          <w:tcPr>
            <w:tcW w:type="dxa" w:w="3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₹2,41,800</w:t>
            </w:r>
          </w:p>
        </w:tc>
      </w:tr>
      <w:tr>
        <w:tc>
          <w:tcPr>
            <w:tcW w:type="dxa" w:w="57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 COGS (Recipes × Sales, FIFO)</w:t>
            </w:r>
          </w:p>
        </w:tc>
        <w:tc>
          <w:tcPr>
            <w:tcW w:type="dxa" w:w="3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₹56,160</w:t>
            </w:r>
          </w:p>
        </w:tc>
      </w:tr>
      <w:tr>
        <w:tc>
          <w:tcPr>
            <w:tcW w:type="dxa" w:w="5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 Gross Profit</w:t>
            </w:r>
          </w:p>
        </w:tc>
        <w:tc>
          <w:tcPr>
            <w:tcW w:type="dxa" w:w="3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₹1,85,640</w:t>
            </w:r>
          </w:p>
        </w:tc>
      </w:tr>
      <w:tr>
        <w:tc>
          <w:tcPr>
            <w:tcW w:type="dxa" w:w="57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 Operating Expenses</w:t>
            </w:r>
          </w:p>
        </w:tc>
        <w:tc>
          <w:tcPr>
            <w:tcW w:type="dxa" w:w="3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₹1,48,000</w:t>
            </w:r>
          </w:p>
        </w:tc>
      </w:tr>
      <w:tr>
        <w:tc>
          <w:tcPr>
            <w:tcW w:type="dxa" w:w="5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 Net Profit</w:t>
            </w:r>
          </w:p>
        </w:tc>
        <w:tc>
          <w:tcPr>
            <w:tcW w:type="dxa" w:w="3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₹37,640</w:t>
            </w:r>
          </w:p>
        </w:tc>
      </w:tr>
      <w:tr>
        <w:tc>
          <w:tcPr>
            <w:tcW w:type="dxa" w:w="576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Food Cost %</w:t>
            </w:r>
          </w:p>
        </w:tc>
        <w:tc>
          <w:tcPr>
            <w:tcW w:type="dxa" w:w="3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23.2%</w:t>
            </w:r>
          </w:p>
        </w:tc>
      </w:tr>
      <w:tr>
        <w:tc>
          <w:tcPr>
            <w:tcW w:type="dxa" w:w="576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Net Margin</w:t>
            </w:r>
          </w:p>
        </w:tc>
        <w:tc>
          <w:tcPr>
            <w:tcW w:type="dxa" w:w="3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15.6%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4712A" w:sz="18"/>
              <w:bottom w:val="single" w:color="DDDDDD" w:sz="1"/>
              <w:right w:val="single" w:color="DDDDDD" w:sz="1"/>
            </w:tcBorders>
            <w:shd w:fill="FDEBDD" w:val="clear"/>
            <w:tcMar>
              <w:top w:type="dxa" w:w="100"/>
              <w:left w:type="dxa" w:w="160"/>
              <w:bottom w:type="dxa" w:w="100"/>
              <w:right w:type="dxa" w:w="140"/>
            </w:tcMar>
          </w:tcPr>
          <w:p>
            <w:pPr>
              <w:spacing w:after="60"/>
            </w:pPr>
            <w:r>
              <w:rPr>
                <w:b/>
                <w:bCs/>
                <w:color w:val="E4712A"/>
              </w:rPr>
              <w:t xml:space="preserve">Key concept: Purchases ≠ COGS (this trips up most owners)</w:t>
            </w:r>
          </w:p>
          <w:p>
            <w:pPr>
              <w:spacing w:after="40"/>
            </w:pPr>
            <w:r>
              <w:rPr>
                <w:sz w:val="20"/>
                <w:szCs w:val="20"/>
              </w:rPr>
              <w:t xml:space="preserve">The Dashboard shows a “Purchases” figure (cash you spent buying stock this month, say ₹70,000). That is NOT your cost of goods sold.</w:t>
            </w:r>
          </w:p>
          <w:p>
            <w:pPr>
              <w:spacing w:after="40"/>
            </w:pPr>
            <w:r>
              <w:rPr>
                <w:sz w:val="20"/>
                <w:szCs w:val="20"/>
              </w:rPr>
              <w:t xml:space="preserve">COGS (₹56,160) is only the stock you actually consumed through sales. The rest (₹13,840) is still on your shelves as inventory value — an asset, not an expense.</w:t>
            </w:r>
          </w:p>
          <w:p>
            <w:pPr>
              <w:spacing w:after="40"/>
            </w:pPr>
            <w:r>
              <w:rPr>
                <w:sz w:val="20"/>
                <w:szCs w:val="20"/>
              </w:rPr>
              <w:t xml:space="preserve">Your P&amp;L uses COGS, so profit reflects what you truly used, not what you happened to buy that month.</w:t>
            </w:r>
          </w:p>
        </w:tc>
      </w:tr>
    </w:tbl>
    <w:p>
      <w:r>
        <w:br w:type="page"/>
      </w:r>
    </w:p>
    <w:p>
      <w:pPr>
        <w:pStyle w:val="Heading1"/>
      </w:pPr>
      <w:r>
        <w:t xml:space="preserve">The linkage map — where every field flows</w:t>
      </w:r>
    </w:p>
    <w:p>
      <w:pPr>
        <w:spacing w:after="120" w:before="0"/>
      </w:pPr>
      <w:r>
        <w:t xml:space="preserve">A field-by-field view of how one entry ripples through the whole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DDDDD" w:sz="1"/>
              <w:left w:val="single" w:color="DDDDDD" w:sz="1"/>
              <w:bottom w:val="single" w:color="DDDDDD" w:sz="1"/>
              <w:right w:val="single" w:color="DDDDDD" w:sz="1"/>
            </w:tcBorders>
            <w:shd w:fill="2563EB" w:val="clear"/>
            <w:tcMar>
              <w:top w:type="dxa" w:w="60"/>
              <w:left w:type="dxa" w:w="110"/>
              <w:bottom w:type="dxa" w:w="60"/>
              <w:right w:type="dxa" w:w="110"/>
            </w:tcMar>
          </w:tcPr>
          <w:p>
            <w:pPr>
              <w:jc w:val="left"/>
            </w:pPr>
            <w:r>
              <w:rPr>
                <w:b/>
                <w:bCs/>
                <w:color w:val="FFFFFF"/>
                <w:sz w:val="19"/>
                <w:szCs w:val="19"/>
              </w:rPr>
              <w:t xml:space="preserve">You enter…</w:t>
            </w:r>
          </w:p>
        </w:tc>
        <w:tc>
          <w:tcPr>
            <w:tcW w:type="dxa" w:w="3380"/>
            <w:tcBorders>
              <w:top w:val="single" w:color="DDDDDD" w:sz="1"/>
              <w:left w:val="single" w:color="DDDDDD" w:sz="1"/>
              <w:bottom w:val="single" w:color="DDDDDD" w:sz="1"/>
              <w:right w:val="single" w:color="DDDDDD" w:sz="1"/>
            </w:tcBorders>
            <w:shd w:fill="2563EB" w:val="clear"/>
            <w:tcMar>
              <w:top w:type="dxa" w:w="60"/>
              <w:left w:type="dxa" w:w="110"/>
              <w:bottom w:type="dxa" w:w="60"/>
              <w:right w:type="dxa" w:w="110"/>
            </w:tcMar>
          </w:tcPr>
          <w:p>
            <w:pPr>
              <w:jc w:val="right"/>
            </w:pPr>
            <w:r>
              <w:rPr>
                <w:b/>
                <w:bCs/>
                <w:color w:val="FFFFFF"/>
                <w:sz w:val="19"/>
                <w:szCs w:val="19"/>
              </w:rPr>
              <w:t xml:space="preserve">in module…</w:t>
            </w:r>
          </w:p>
        </w:tc>
        <w:tc>
          <w:tcPr>
            <w:tcW w:type="dxa" w:w="3380"/>
            <w:tcBorders>
              <w:top w:val="single" w:color="DDDDDD" w:sz="1"/>
              <w:left w:val="single" w:color="DDDDDD" w:sz="1"/>
              <w:bottom w:val="single" w:color="DDDDDD" w:sz="1"/>
              <w:right w:val="single" w:color="DDDDDD" w:sz="1"/>
            </w:tcBorders>
            <w:shd w:fill="2563EB" w:val="clear"/>
            <w:tcMar>
              <w:top w:type="dxa" w:w="60"/>
              <w:left w:type="dxa" w:w="110"/>
              <w:bottom w:type="dxa" w:w="60"/>
              <w:right w:type="dxa" w:w="110"/>
            </w:tcMar>
          </w:tcPr>
          <w:p>
            <w:pPr>
              <w:jc w:val="right"/>
            </w:pPr>
            <w:r>
              <w:rPr>
                <w:b/>
                <w:bCs/>
                <w:color w:val="FFFFFF"/>
                <w:sz w:val="19"/>
                <w:szCs w:val="19"/>
              </w:rPr>
              <w:t xml:space="preserve">and it flows to…</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Unit (ml, g)</w:t>
            </w:r>
          </w:p>
        </w:tc>
        <w:tc>
          <w:tcPr>
            <w:tcW w:type="dxa" w:w="33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Units</w:t>
            </w:r>
          </w:p>
        </w:tc>
        <w:tc>
          <w:tcPr>
            <w:tcW w:type="dxa" w:w="33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Items, Purchases, Recipes (unit conversion)</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Vendor state code</w:t>
            </w:r>
          </w:p>
        </w:tc>
        <w:tc>
          <w:tcPr>
            <w:tcW w:type="dxa" w:w="33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Vendors</w:t>
            </w:r>
          </w:p>
        </w:tc>
        <w:tc>
          <w:tcPr>
            <w:tcW w:type="dxa" w:w="33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GST split on every purchase (CGST/SGST vs IGST)</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Item + GST %</w:t>
            </w:r>
          </w:p>
        </w:tc>
        <w:tc>
          <w:tcPr>
            <w:tcW w:type="dxa" w:w="33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Ingredients</w:t>
            </w:r>
          </w:p>
        </w:tc>
        <w:tc>
          <w:tcPr>
            <w:tcW w:type="dxa" w:w="33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Purchase auto-fill, Inventory, Recipe cost</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Purchase line rate</w:t>
            </w:r>
          </w:p>
        </w:tc>
        <w:tc>
          <w:tcPr>
            <w:tcW w:type="dxa" w:w="33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Purchase order</w:t>
            </w:r>
          </w:p>
        </w:tc>
        <w:tc>
          <w:tcPr>
            <w:tcW w:type="dxa" w:w="33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FIFO cost layer → Recipe cost → COGS</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Purchase qty</w:t>
            </w:r>
          </w:p>
        </w:tc>
        <w:tc>
          <w:tcPr>
            <w:tcW w:type="dxa" w:w="33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Purchase order</w:t>
            </w:r>
          </w:p>
        </w:tc>
        <w:tc>
          <w:tcPr>
            <w:tcW w:type="dxa" w:w="33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Inventory in-hand + stock value</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Recipe qty</w:t>
            </w:r>
          </w:p>
        </w:tc>
        <w:tc>
          <w:tcPr>
            <w:tcW w:type="dxa" w:w="33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Recipes</w:t>
            </w:r>
          </w:p>
        </w:tc>
        <w:tc>
          <w:tcPr>
            <w:tcW w:type="dxa" w:w="33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Per-dish cost, and stock consumed per sale</w:t>
            </w:r>
          </w:p>
        </w:tc>
      </w:tr>
      <w:tr>
        <w:tc>
          <w:tcPr>
            <w:tcW w:type="dxa" w:w="260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left"/>
            </w:pPr>
            <w:r>
              <w:rPr>
                <w:sz w:val="19"/>
                <w:szCs w:val="19"/>
              </w:rPr>
              <w:t xml:space="preserve">Sale (CSV/manual)</w:t>
            </w:r>
          </w:p>
        </w:tc>
        <w:tc>
          <w:tcPr>
            <w:tcW w:type="dxa" w:w="33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Sales order</w:t>
            </w:r>
          </w:p>
        </w:tc>
        <w:tc>
          <w:tcPr>
            <w:tcW w:type="dxa" w:w="3380"/>
            <w:tcBorders>
              <w:top w:val="single" w:color="DDDDDD" w:sz="1"/>
              <w:left w:val="single" w:color="DDDDDD" w:sz="1"/>
              <w:bottom w:val="single" w:color="DDDDDD" w:sz="1"/>
              <w:right w:val="single" w:color="DDDDDD" w:sz="1"/>
            </w:tcBorders>
            <w:tcMar>
              <w:top w:type="dxa" w:w="60"/>
              <w:left w:type="dxa" w:w="110"/>
              <w:bottom w:type="dxa" w:w="60"/>
              <w:right w:type="dxa" w:w="110"/>
            </w:tcMar>
          </w:tcPr>
          <w:p>
            <w:pPr>
              <w:jc w:val="right"/>
            </w:pPr>
            <w:r>
              <w:rPr>
                <w:sz w:val="19"/>
                <w:szCs w:val="19"/>
              </w:rPr>
              <w:t xml:space="preserve">Revenue, Inventory out, COGS, Food Cost %</w:t>
            </w:r>
          </w:p>
        </w:tc>
      </w:tr>
      <w:tr>
        <w:tc>
          <w:tcPr>
            <w:tcW w:type="dxa" w:w="260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left"/>
            </w:pPr>
            <w:r>
              <w:rPr>
                <w:sz w:val="19"/>
                <w:szCs w:val="19"/>
              </w:rPr>
              <w:t xml:space="preserve">Expense amount</w:t>
            </w:r>
          </w:p>
        </w:tc>
        <w:tc>
          <w:tcPr>
            <w:tcW w:type="dxa" w:w="33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Expenses</w:t>
            </w:r>
          </w:p>
        </w:tc>
        <w:tc>
          <w:tcPr>
            <w:tcW w:type="dxa" w:w="3380"/>
            <w:tcBorders>
              <w:top w:val="single" w:color="DDDDDD" w:sz="1"/>
              <w:left w:val="single" w:color="DDDDDD" w:sz="1"/>
              <w:bottom w:val="single" w:color="DDDDDD" w:sz="1"/>
              <w:right w:val="single" w:color="DDDDDD" w:sz="1"/>
            </w:tcBorders>
            <w:shd w:fill="F7F7F8" w:val="clear"/>
            <w:tcMar>
              <w:top w:type="dxa" w:w="60"/>
              <w:left w:type="dxa" w:w="110"/>
              <w:bottom w:type="dxa" w:w="60"/>
              <w:right w:type="dxa" w:w="110"/>
            </w:tcMar>
          </w:tcPr>
          <w:p>
            <w:pPr>
              <w:jc w:val="right"/>
            </w:pPr>
            <w:r>
              <w:rPr>
                <w:sz w:val="19"/>
                <w:szCs w:val="19"/>
              </w:rPr>
              <w:t xml:space="preserve">Net Profit on the P&amp;L</w:t>
            </w:r>
          </w:p>
        </w:tc>
      </w:tr>
    </w:tbl>
    <w:p>
      <w:pPr>
        <w:pStyle w:val="Heading1"/>
      </w:pPr>
      <w:r>
        <w:t xml:space="preserve">Your day-to-day rhythm</w:t>
      </w:r>
    </w:p>
    <w:p>
      <w:pPr>
        <w:pStyle w:val="Heading2"/>
      </w:pPr>
      <w:r>
        <w:t xml:space="preserve">Once (setup)</w:t>
      </w:r>
    </w:p>
    <w:p>
      <w:pPr>
        <w:pStyle w:val="ListParagraph"/>
        <w:numPr>
          <w:ilvl w:val="0"/>
          <w:numId w:val="2"/>
        </w:numPr>
        <w:spacing w:after="70"/>
      </w:pPr>
      <w:r>
        <w:t xml:space="preserve">Units → Categories → Vendors → Items → Recipes. Do it in that order and you’re done.</w:t>
      </w:r>
    </w:p>
    <w:p>
      <w:pPr>
        <w:pStyle w:val="Heading2"/>
      </w:pPr>
      <w:r>
        <w:t xml:space="preserve">Every day</w:t>
      </w:r>
    </w:p>
    <w:p>
      <w:pPr>
        <w:pStyle w:val="ListParagraph"/>
        <w:numPr>
          <w:ilvl w:val="0"/>
          <w:numId w:val="2"/>
        </w:numPr>
        <w:spacing w:after="70"/>
      </w:pPr>
      <w:r>
        <w:t xml:space="preserve">Enter any supplier bills as Purchases.</w:t>
      </w:r>
    </w:p>
    <w:p>
      <w:pPr>
        <w:pStyle w:val="ListParagraph"/>
        <w:numPr>
          <w:ilvl w:val="0"/>
          <w:numId w:val="2"/>
        </w:numPr>
        <w:spacing w:after="70"/>
      </w:pPr>
      <w:r>
        <w:t xml:space="preserve">Upload the day’s Petpooja CSV under Sales (or add manual sales).</w:t>
      </w:r>
    </w:p>
    <w:p>
      <w:pPr>
        <w:pStyle w:val="Heading2"/>
      </w:pPr>
      <w:r>
        <w:t xml:space="preserve">Every week</w:t>
      </w:r>
    </w:p>
    <w:p>
      <w:pPr>
        <w:pStyle w:val="ListParagraph"/>
        <w:numPr>
          <w:ilvl w:val="0"/>
          <w:numId w:val="2"/>
        </w:numPr>
        <w:spacing w:after="70"/>
      </w:pPr>
      <w:r>
        <w:t xml:space="preserve">Check Low Stock on the Dashboard and reorder.</w:t>
      </w:r>
    </w:p>
    <w:p>
      <w:pPr>
        <w:pStyle w:val="ListParagraph"/>
        <w:numPr>
          <w:ilvl w:val="0"/>
          <w:numId w:val="2"/>
        </w:numPr>
        <w:spacing w:after="70"/>
      </w:pPr>
      <w:r>
        <w:t xml:space="preserve">Log Expenses as they happen (rent, salaries, utilities).</w:t>
      </w:r>
    </w:p>
    <w:p>
      <w:pPr>
        <w:pStyle w:val="Heading2"/>
      </w:pPr>
      <w:r>
        <w:t xml:space="preserve">Every month</w:t>
      </w:r>
    </w:p>
    <w:p>
      <w:pPr>
        <w:pStyle w:val="ListParagraph"/>
        <w:numPr>
          <w:ilvl w:val="0"/>
          <w:numId w:val="2"/>
        </w:numPr>
        <w:spacing w:after="70"/>
      </w:pPr>
      <w:r>
        <w:t xml:space="preserve">Set the Dashboard date range to the month and read your P&amp;L.</w:t>
      </w:r>
    </w:p>
    <w:p>
      <w:pPr>
        <w:pStyle w:val="ListParagraph"/>
        <w:numPr>
          <w:ilvl w:val="0"/>
          <w:numId w:val="2"/>
        </w:numPr>
        <w:spacing w:after="70"/>
      </w:pPr>
      <w:r>
        <w:t xml:space="preserve">Export the Sales and Purchases registers to CSV for your accountant or Power BI.</w:t>
      </w:r>
    </w:p>
    <w:p>
      <w:pPr>
        <w:pStyle w:val="Heading1"/>
      </w:pPr>
      <w:r>
        <w:t xml:space="preserve">Tips &amp; troubleshooting</w:t>
      </w:r>
    </w:p>
    <w:p>
      <w:pPr>
        <w:pStyle w:val="ListParagraph"/>
        <w:numPr>
          <w:ilvl w:val="0"/>
          <w:numId w:val="2"/>
        </w:numPr>
        <w:spacing w:after="70"/>
      </w:pPr>
      <w:r>
        <w:t xml:space="preserve">Food Cost % looks wrong? Check the recipe quantities and the item’s base unit — a g/ml mix-up is the usual cause.</w:t>
      </w:r>
    </w:p>
    <w:p>
      <w:pPr>
        <w:pStyle w:val="ListParagraph"/>
        <w:numPr>
          <w:ilvl w:val="0"/>
          <w:numId w:val="2"/>
        </w:numPr>
        <w:spacing w:after="70"/>
      </w:pPr>
      <w:r>
        <w:t xml:space="preserve">Stock not moving on sales? The sold item needs a recipe; without one, there’s nothing to consume.</w:t>
      </w:r>
    </w:p>
    <w:p>
      <w:pPr>
        <w:pStyle w:val="ListParagraph"/>
        <w:numPr>
          <w:ilvl w:val="0"/>
          <w:numId w:val="2"/>
        </w:numPr>
        <w:spacing w:after="70"/>
      </w:pPr>
      <w:r>
        <w:t xml:space="preserve">GST split looks off? Confirm the vendor’s state code vs your branch state.</w:t>
      </w:r>
    </w:p>
    <w:p>
      <w:pPr>
        <w:pStyle w:val="ListParagraph"/>
        <w:numPr>
          <w:ilvl w:val="0"/>
          <w:numId w:val="2"/>
        </w:numPr>
        <w:spacing w:after="70"/>
      </w:pPr>
      <w:r>
        <w:t xml:space="preserve">Numbers empty on the Dashboard? That’s normal until you’ve entered at least one purchase and one day of sales.</w:t>
      </w:r>
    </w:p>
    <w:p>
      <w:pPr>
        <w:pStyle w:val="ListParagraph"/>
        <w:numPr>
          <w:ilvl w:val="0"/>
          <w:numId w:val="2"/>
        </w:numPr>
        <w:spacing w:after="70"/>
      </w:pPr>
      <w:r>
        <w:t xml:space="preserve">Deleting a category/vendor/unit is safe — it archives the record; past bills keep their names and history.</w:t>
      </w:r>
    </w:p>
    <w:p>
      <w:pPr>
        <w:spacing w:after="160"/>
      </w:pPr>
    </w:p>
    <w:p>
      <w:pPr>
        <w:spacing w:after="120" w:before="0"/>
        <w:jc w:val="center"/>
      </w:pPr>
      <w:r>
        <w:rPr>
          <w:i/>
          <w:iCs/>
          <w:color w:val="6B7280"/>
          <w:sz w:val="18"/>
          <w:szCs w:val="18"/>
        </w:rPr>
        <w:t xml:space="preserve">Romancham · romancham.vercel.app</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Romancham Operating Guide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E4712A"/>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adc02daf4b8d6b6b3722fe530a124618c67f3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Romancham Operating Guide</dc:title>
  <dc:creator>Romancham</dc:creator>
  <cp:lastModifiedBy>Un-named</cp:lastModifiedBy>
  <cp:revision>1</cp:revision>
  <dcterms:created xsi:type="dcterms:W3CDTF">2026-07-02T17:37:20.743Z</dcterms:created>
  <dcterms:modified xsi:type="dcterms:W3CDTF">2026-07-02T17:37:20.744Z</dcterms:modified>
</cp:coreProperties>
</file>

<file path=docProps/custom.xml><?xml version="1.0" encoding="utf-8"?>
<Properties xmlns="http://schemas.openxmlformats.org/officeDocument/2006/custom-properties" xmlns:vt="http://schemas.openxmlformats.org/officeDocument/2006/docPropsVTypes"/>
</file>