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and change management procedure</w:t>
      </w:r>
    </w:p>
    <w:p>
      <w:pPr>
        <w:pStyle w:val="Heading2"/>
      </w:pPr>
      <w:r>
        <w:t>Change classes</w:t>
      </w:r>
    </w:p>
    <w:p>
      <w:r>
        <w:t>Changes to production are divided into three classes. Standard changes are pre-approved and low risk. Normal changes require approval of the Change Advisory Board (CAB). Emergency changes are made to restore service or close a critical vulnerability and are reviewed afterwards.</w:t>
      </w:r>
    </w:p>
    <w:p>
      <w:pPr>
        <w:pStyle w:val="Heading2"/>
      </w:pPr>
      <w:r>
        <w:t>Change Advisory Board</w:t>
      </w:r>
    </w:p>
    <w:p>
      <w:r>
        <w:t>The CAB meets weekly on Tuesday at 11:00 Astana time (UTC+5). The board consists of the head of delivery, the head of operations, the information security lead and the product owner of the affected system.</w:t>
      </w:r>
    </w:p>
    <w:p>
      <w:pPr>
        <w:pStyle w:val="Heading2"/>
      </w:pPr>
      <w:r>
        <w:t>Release windows</w:t>
      </w:r>
    </w:p>
    <w:p>
      <w:r>
        <w:t>Planned production releases are performed from Tuesday to Thursday between 22:00 and 02:00 Astana time. Releases are not made on Fridays, weekends or public holidays in Kazakhstan, except emergency changes. Customers are notified about planned maintenance at least 5 days in advance.</w:t>
      </w:r>
    </w:p>
    <w:p>
      <w:pPr>
        <w:pStyle w:val="Heading2"/>
      </w:pPr>
      <w:r>
        <w:t>Records</w:t>
      </w:r>
    </w:p>
    <w:p>
      <w:r>
        <w:t>Each change has a record with a description, risk assessment, rollback plan and test evidence. Change records are retained for 3 years. After an emergency change a review is held within 3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and change management procedure</dc:title>
  <dc:subject>Development</dc:subject>
  <dc:creator>Steppelight Technologies (fictional company)</dc:creator>
  <cp:keywords>DEV-005; Development; en</cp:keywords>
  <dc:description>Effective date: 2025-12-01. Synthetic demo data.</dc:description>
  <cp:lastModifiedBy>Steppelight Technologies (fictional company)</cp:lastModifiedBy>
  <cp:revision>1</cp:revision>
  <dcterms:created xsi:type="dcterms:W3CDTF">2025-12-01T00:00:00Z</dcterms:created>
  <dcterms:modified xsi:type="dcterms:W3CDTF">2025-12-01T00:00:00Z</dcterms:modified>
  <cp:category/>
  <dc:language>en</dc:language>
  <dc:identifier>DEV-005</dc:identifier>
</cp:coreProperties>
</file>