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Политика управления доступом</w:t>
      </w:r>
    </w:p>
    <w:p>
      <w:pPr>
        <w:pStyle w:val="Heading2"/>
      </w:pPr>
      <w:r>
        <w:t>Принципы</w:t>
      </w:r>
    </w:p>
    <w:p>
      <w:r>
        <w:t>Доступ предоставляется по принципу наименьших привилегий и только на основании рабочей необходимости. Права назначаются через роли (RBAC); индивидуальные исключения допускаются по решению владельца системы и фиксируются в заявке.</w:t>
      </w:r>
    </w:p>
    <w:p>
      <w:pPr>
        <w:pStyle w:val="Heading2"/>
      </w:pPr>
      <w:r>
        <w:t>Аутентификация</w:t>
      </w:r>
    </w:p>
    <w:p>
      <w:r>
        <w:t>Многофакторная аутентификация (MFA) обязательна для всех удалённых подключений, для доступа к административным консолям и к производственным средам. Допустимые факторы — одноразовые коды (TOTP) и аппаратные ключи FIDO2; SMS-коды не используются. Минимальная длина пароля — 14 символов. Принудительная периодическая смена пароля не применяется, пароль меняется при подозрении на компрометацию.</w:t>
      </w:r>
    </w:p>
    <w:p>
      <w:pPr>
        <w:pStyle w:val="Heading2"/>
      </w:pPr>
      <w:r>
        <w:t>Привилегированный доступ</w:t>
      </w:r>
    </w:p>
    <w:p>
      <w:r>
        <w:t>Административный доступ к производственным системам выдаётся через систему управления привилегированным доступом (PAM) на ограниченное время. Все привилегированные сессии записываются, записи хранятся 12 месяцев.</w:t>
      </w:r>
    </w:p>
    <w:p>
      <w:pPr>
        <w:pStyle w:val="Heading2"/>
      </w:pPr>
      <w:r>
        <w:t>Жизненный цикл учётных записей</w:t>
      </w:r>
    </w:p>
    <w:p>
      <w:r>
        <w:t>Доступ запрашивается через заявку с согласованием непосредственного руководителя и владельца системы. При увольнении сотрудника все доступы отзываются не позднее 4 часов с момента издания приказа. Пересмотр прав доступа выполняется ежеквартально; результаты пересмотра фиксируются в журнале и хранятся 3 года.</w:t>
      </w:r>
    </w:p>
    <w:p>
      <w:pPr>
        <w:pStyle w:val="Heading2"/>
      </w:pPr>
      <w:r>
        <w:t>Доступ заказчиков и подрядчиков</w:t>
      </w:r>
    </w:p>
    <w:p>
      <w:r>
        <w:t>Подрядчики получают доступ только к конкретным проектам на срок договора, с обязательным MFA. Общие (разделяемые) учётные записи запрещены.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 управления доступом</dc:title>
  <dc:subject>Security</dc:subject>
  <dc:creator>Steppelight Technologies (fictional company)</dc:creator>
  <cp:keywords>SEC-001; Security; ru</cp:keywords>
  <dc:description>Effective date: 2025-03-01. Synthetic demo data.</dc:description>
  <cp:lastModifiedBy>Steppelight Technologies (fictional company)</cp:lastModifiedBy>
  <cp:revision>1</cp:revision>
  <dcterms:created xsi:type="dcterms:W3CDTF">2025-03-01T00:00:00Z</dcterms:created>
  <dcterms:modified xsi:type="dcterms:W3CDTF">2025-03-01T00:00:00Z</dcterms:modified>
  <cp:category/>
  <dc:language>ru</dc:language>
  <dc:identifier>SEC-001</dc:identifier>
</cp:coreProperties>
</file>