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response policy</w:t>
      </w:r>
    </w:p>
    <w:p>
      <w:pPr>
        <w:pStyle w:val="Heading2"/>
      </w:pPr>
      <w:r>
        <w:t>Scope and roles</w:t>
      </w:r>
    </w:p>
    <w:p>
      <w:r>
        <w:t>This policy covers all information security incidents affecting company systems and customer data. A Computer Security Incident Response Team (CSIRT) is on call 24 hours a day, 7 days a week. The incident commander is appointed from the CSIRT for each S1 and S2 incident.</w:t>
      </w:r>
    </w:p>
    <w:p>
      <w:pPr>
        <w:pStyle w:val="Heading2"/>
      </w:pPr>
      <w:r>
        <w:t>Severity levels</w:t>
      </w:r>
    </w:p>
    <w:p>
      <w:r>
        <w:t>Incidents are classified into four levels: S1 (confirmed breach of customer data or complete outage of a production service), S2 (significant degradation or suspected breach), S3 (limited impact, no data exposure), S4 (minor event). The CSIRT starts triage of an S1 incident within 30 minutes after detection.</w:t>
      </w:r>
    </w:p>
    <w:p>
      <w:pPr>
        <w:pStyle w:val="Heading2"/>
      </w:pPr>
      <w:r>
        <w:t>Notification</w:t>
      </w:r>
    </w:p>
    <w:p>
      <w:r>
        <w:t>When an incident affecting a customer's data is confirmed, the customer is notified without undue delay and no later than 24 hours after confirmation. Notification goes to the security contact named in the contract. Regulators are informed by the data protection officer when the law requires it.</w:t>
      </w:r>
    </w:p>
    <w:p>
      <w:pPr>
        <w:pStyle w:val="Heading2"/>
      </w:pPr>
      <w:r>
        <w:t>Post-incident activities</w:t>
      </w:r>
    </w:p>
    <w:p>
      <w:r>
        <w:t>A post-incident review is held within 5 business days after closure of every S1 and S2 incident. The review report includes the timeline, root cause, corrective actions and owners with due dates. Incident records are retained for 3 years. The response plan is exercised with a tabletop scenario twice a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dc:title>
  <dc:subject>Security</dc:subject>
  <dc:creator>Steppelight Technologies (fictional company)</dc:creator>
  <cp:keywords>SEC-005; Security; en</cp:keywords>
  <dc:description>Effective date: 2025-09-10. Synthetic demo data.</dc:description>
  <cp:lastModifiedBy>Steppelight Technologies (fictional company)</cp:lastModifiedBy>
  <cp:revision>1</cp:revision>
  <dcterms:created xsi:type="dcterms:W3CDTF">2025-09-10T00:00:00Z</dcterms:created>
  <dcterms:modified xsi:type="dcterms:W3CDTF">2025-09-10T00:00:00Z</dcterms:modified>
  <cp:category/>
  <dc:language>en</dc:language>
  <dc:identifier>SEC-005</dc:identifier>
</cp:coreProperties>
</file>