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Типовое соглашение об уровне обслуживания (SLA)</w:t>
      </w:r>
    </w:p>
    <w:p>
      <w:pPr>
        <w:pStyle w:val="Heading2"/>
      </w:pPr>
      <w:r>
        <w:t>Предмет соглашения</w:t>
      </w:r>
    </w:p>
    <w:p>
      <w:r>
        <w:t>Соглашение определяет уровень обслуживания информационных систем, которые компания сопровождает по договору. Редакция действует для тарифов Standard и Premium.</w:t>
      </w:r>
    </w:p>
    <w:p>
      <w:pPr>
        <w:pStyle w:val="Heading2"/>
      </w:pPr>
      <w:r>
        <w:t>Доступность</w:t>
      </w:r>
    </w:p>
    <w:p>
      <w:r>
        <w:t>Гарантированная месячная доступность: для тарифа Standard — 99,5%, для тарифа Premium — 99,9%. Плановые работы не учитываются при расчёте доступности, если о них заказчик уведомлён не менее чем за 5 дней и их суммарная длительность не превышает 8 часов в месяц.</w:t>
      </w:r>
    </w:p>
    <w:p>
      <w:pPr>
        <w:pStyle w:val="Heading2"/>
      </w:pPr>
      <w:r>
        <w:t>Время реакции</w:t>
      </w:r>
    </w:p>
    <w:p>
      <w:r>
        <w:t>Время первой реакции на обращение: приоритет P1 — 30 минут, приоритет P2 — 2 часа, приоритет P3 — 8 рабочих часов. Для тарифа Premium время реакции на P1 и P2 отсчитывается круглосуточно.</w:t>
      </w:r>
    </w:p>
    <w:p>
      <w:pPr>
        <w:pStyle w:val="Heading2"/>
      </w:pPr>
      <w:r>
        <w:t>Отчётность</w:t>
      </w:r>
    </w:p>
    <w:p>
      <w:r>
        <w:t>Отчёт об уровне обслуживания направляется заказчику ежемесячно не позднее пятого рабочего дня следующего месяца. Отчёт содержит фактическую доступность, перечень инцидентов, время реакции и меры по предотвращению повторов.</w:t>
      </w:r>
    </w:p>
    <w:p>
      <w:pPr>
        <w:pStyle w:val="Heading2"/>
      </w:pPr>
      <w:r>
        <w:t>Компенсации</w:t>
      </w:r>
    </w:p>
    <w:p>
      <w:r>
        <w:t>При нарушении гарантированной доступности заказчику предоставляются сервисные кредиты в порядке, описанном в отдельном документе о сервисных кредитах.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Типовое соглашение об уровне обслуживания (SLA)</dc:title>
  <dc:subject>SLA</dc:subject>
  <dc:creator>Steppelight Technologies (fictional company)</dc:creator>
  <cp:keywords>SLA-001; SLA; ru</cp:keywords>
  <dc:description>Effective date: 2024-02-01. Synthetic demo data.</dc:description>
  <cp:lastModifiedBy>Steppelight Technologies (fictional company)</cp:lastModifiedBy>
  <cp:revision>1</cp:revision>
  <dcterms:created xsi:type="dcterms:W3CDTF">2024-02-01T00:00:00Z</dcterms:created>
  <dcterms:modified xsi:type="dcterms:W3CDTF">2024-02-01T00:00:00Z</dcterms:modified>
  <cp:category/>
  <dc:language>ru</dc:language>
  <dc:identifier>SLA-001</dc:identifier>
</cp:coreProperties>
</file>