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Обзор услуг компании</w:t>
      </w:r>
    </w:p>
    <w:p>
      <w:pPr>
        <w:pStyle w:val="Heading2"/>
      </w:pPr>
      <w:r>
        <w:t>Направления услуг</w:t>
      </w:r>
    </w:p>
    <w:p>
      <w:r>
        <w:t>Компания оказывает услуги по пяти направлениям:</w:t>
      </w:r>
    </w:p>
    <w:p>
      <w:pPr>
        <w:pStyle w:val="ListNumber"/>
      </w:pPr>
      <w:r>
        <w:t>Разработка программного обеспечения на заказ (веб, мобильные приложения, интеграции).</w:t>
      </w:r>
    </w:p>
    <w:p>
      <w:pPr>
        <w:pStyle w:val="ListNumber"/>
      </w:pPr>
      <w:r>
        <w:t>Облачные услуги и DevOps: миграция, автоматизация инфраструктуры, эксплуатация.</w:t>
      </w:r>
    </w:p>
    <w:p>
      <w:pPr>
        <w:pStyle w:val="ListNumber"/>
      </w:pPr>
      <w:r>
        <w:t>Тестирование и обеспечение качества (QA).</w:t>
      </w:r>
    </w:p>
    <w:p>
      <w:pPr>
        <w:pStyle w:val="ListNumber"/>
      </w:pPr>
      <w:r>
        <w:t>Данные и искусственный интеллект: хранилища данных, машинное обучение, ассистенты на базе больших языковых моделей.</w:t>
      </w:r>
    </w:p>
    <w:p>
      <w:pPr>
        <w:pStyle w:val="ListNumber"/>
      </w:pPr>
      <w:r>
        <w:t>Сопровождение и поддержка информационных систем после запуска.</w:t>
      </w:r>
    </w:p>
    <w:p>
      <w:pPr>
        <w:pStyle w:val="Heading2"/>
      </w:pPr>
      <w:r>
        <w:t>Модели сотрудничества</w:t>
      </w:r>
    </w:p>
    <w:p>
      <w:r>
        <w:t>Работа ведётся по трём моделям: фиксированная стоимость (Fixed Price) для проектов с чёткими требованиями, время и материалы (Time &amp; Materials) для развивающихся продуктов и выделенная команда (Dedicated Team) для долгосрочного сотрудничества. Минимальный размер выделенной команды — 3 специалиста, минимальный срок — 6 месяцев.</w:t>
      </w:r>
    </w:p>
    <w:p>
      <w:pPr>
        <w:pStyle w:val="Heading2"/>
      </w:pPr>
      <w:r>
        <w:t>Как начинается проект</w:t>
      </w:r>
    </w:p>
    <w:p>
      <w:r>
        <w:t>Перед стартом проводится обследование длительностью от 2 до 4 недель. Результат — документ с требованиями, предварительной архитектурой, оценкой сроков и стоимости. Обследование оплачивается отдельно и засчитывается в стоимость проекта при заключении договора на разработку.</w:t>
      </w:r>
    </w:p>
    <w:p>
      <w:pPr>
        <w:pStyle w:val="Heading2"/>
      </w:pPr>
      <w:r>
        <w:t>Ограничения</w:t>
      </w:r>
    </w:p>
    <w:p>
      <w:r>
        <w:t>Компания не оказывает услуги по физической охране, поставке оборудования и продаже лицензий на стороннее программное обеспечение без сопутствующих работ по внедрению.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Обзор услуг компании</dc:title>
  <dc:subject>Services</dc:subject>
  <dc:creator>Steppelight Technologies (fictional company)</dc:creator>
  <cp:keywords>SVC-001; Services; ru</cp:keywords>
  <dc:description>Effective date: 2026-01-12. Synthetic demo data.</dc:description>
  <cp:lastModifiedBy>Steppelight Technologies (fictional company)</cp:lastModifiedBy>
  <cp:revision>1</cp:revision>
  <dcterms:created xsi:type="dcterms:W3CDTF">2026-01-12T00:00:00Z</dcterms:created>
  <dcterms:modified xsi:type="dcterms:W3CDTF">2026-01-12T00:00:00Z</dcterms:modified>
  <cp:category/>
  <dc:language>ru</dc:language>
  <dc:identifier>SVC-001</dc:identifier>
</cp:coreProperties>
</file>