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Запрос предложений № DEMO-2026-017</w:t>
      </w:r>
    </w:p>
    <w:p>
      <w:r>
        <w:t>на сопровождение и развитие информационной системы электронного документооборота</w:t>
      </w:r>
    </w:p>
    <w:p>
      <w:r>
        <w:t>Заказчик: ТОО «Демо Заказчик» (вымышленная организация). Документ подготовлен для демонстрации и не является реальной закупкой.</w:t>
      </w:r>
    </w:p>
    <w:p>
      <w:pPr>
        <w:pStyle w:val="Heading2"/>
      </w:pPr>
      <w:r>
        <w:t>1. Общие положения</w:t>
      </w:r>
    </w:p>
    <w:p>
      <w:r>
        <w:t>Настоящий документ определяет требования к участникам и содержанию предложений. Предложения принимаются в электронном виде до 30 ноября 2026 года, 18:00 по времени Астаны. Участники вправе направить вопросы по документации не позднее чем за 5 рабочих дней до окончания приёма предложений.</w:t>
      </w:r>
    </w:p>
    <w:p>
      <w:r>
        <w:t>Предложение оценивается по критериям: соответствие требованиям — 50%, опыт — 25%, качество сопровождения — 15%, стоимость — 10%. Заказчик вправе запросить дополнительные пояснения и подтверждающие документы.</w:t>
      </w:r>
    </w:p>
    <w:p>
      <w:pPr>
        <w:pStyle w:val="Heading2"/>
      </w:pPr>
      <w:r>
        <w:t>2. Требования к участнику</w:t>
      </w:r>
    </w:p>
    <w:p>
      <w:r>
        <w:t>В предложении необходимо дать ответы на следующие пункты. Ответы должны быть краткими и содержать ссылки на подтверждающие документы.</w:t>
      </w:r>
    </w:p>
    <w:p>
      <w:r>
        <w:t>1. Участник должен подтвердить наличие действующего сертификата ISO/IEC 27001 и указать срок его действия.</w:t>
      </w:r>
    </w:p>
    <w:p>
      <w:r>
        <w:t>2. Опишите опыт разработки мобильного банковского приложения: сроки, состав команды, достигнутую нагрузку.</w:t>
      </w:r>
    </w:p>
    <w:p>
      <w:r>
        <w:t>3. Укажите время первой реакции на обращение критического приоритета (P1).</w:t>
      </w:r>
    </w:p>
    <w:p>
      <w:r>
        <w:t>4. Укажите гарантированный уровень доступности для тарифа Premium и порядок компенсаций за его нарушение.</w:t>
      </w:r>
    </w:p>
    <w:p>
      <w:r>
        <w:t>5. Опишите организацию технической поддержки: линии, часы работы, языки обращения.</w:t>
      </w:r>
    </w:p>
    <w:p>
      <w:r>
        <w:t>6. Укажите, где физически размещаются серверы с данными заказчика.</w:t>
      </w:r>
    </w:p>
    <w:p>
      <w:r>
        <w:t>Предложения, не содержащие ответов на обязательные пункты, могут быть отклонены без рассмотрения по существу.</w:t>
      </w:r>
    </w:p>
    <w:p>
      <w:pPr>
        <w:pStyle w:val="Heading2"/>
      </w:pPr>
      <w:r>
        <w:t>3. Условия сотрудничества</w:t>
      </w:r>
    </w:p>
    <w:p>
      <w:r>
        <w:t>Срок действия договора — 24 месяца с возможностью продления. Оплата производится ежемесячно по актам выполненных работ в течение 15 календарных дней после подписания.</w:t>
      </w:r>
    </w:p>
    <w:p>
      <w:r>
        <w:t>7. Приведите почасовые ставки специалистов по ролям (разработчик, тестировщик, DevOps-инженер).</w:t>
      </w:r>
    </w:p>
    <w:p>
      <w:r>
        <w:t>8. Опишите процесс рецензирования кода и необходимое число рецензентов.</w:t>
      </w:r>
    </w:p>
    <w:p>
      <w:pPr>
        <w:pStyle w:val="Heading2"/>
      </w:pPr>
      <w:r>
        <w:t>4. Технические требования</w:t>
      </w:r>
    </w:p>
    <w:p>
      <w:r>
        <w:t>Ответы на пункты 9–12 приведите в таблице ниже, сохранив нумерацию. Ответы на пункты 13–15 приводятся в свободной форме на любом из языков документа.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№</w:t>
            </w:r>
          </w:p>
        </w:tc>
        <w:tc>
          <w:tcPr>
            <w:tcW w:type="dxa" w:w="4320"/>
          </w:tcPr>
          <w:p>
            <w:r>
              <w:t>Требование</w:t>
            </w:r>
          </w:p>
        </w:tc>
      </w:tr>
      <w:tr>
        <w:tc>
          <w:tcPr>
            <w:tcW w:type="dxa" w:w="4320"/>
          </w:tcPr>
          <w:p>
            <w:r>
              <w:t>9</w:t>
            </w:r>
          </w:p>
        </w:tc>
        <w:tc>
          <w:tcPr>
            <w:tcW w:type="dxa" w:w="4320"/>
          </w:tcPr>
          <w:p>
            <w:r>
              <w:t>Describe the CI/CD tooling and how deployments to production are approved.</w:t>
            </w:r>
          </w:p>
        </w:tc>
      </w:tr>
      <w:tr>
        <w:tc>
          <w:tcPr>
            <w:tcW w:type="dxa" w:w="4320"/>
          </w:tcPr>
          <w:p>
            <w:r>
              <w:t>10</w:t>
            </w:r>
          </w:p>
        </w:tc>
        <w:tc>
          <w:tcPr>
            <w:tcW w:type="dxa" w:w="4320"/>
          </w:tcPr>
          <w:p>
            <w:r>
              <w:t>Describe the measures protecting data in transit and at rest.</w:t>
            </w:r>
          </w:p>
        </w:tc>
      </w:tr>
      <w:tr>
        <w:tc>
          <w:tcPr>
            <w:tcW w:type="dxa" w:w="4320"/>
          </w:tcPr>
          <w:p>
            <w:r>
              <w:t>11</w:t>
            </w:r>
          </w:p>
        </w:tc>
        <w:tc>
          <w:tcPr>
            <w:tcW w:type="dxa" w:w="4320"/>
          </w:tcPr>
          <w:p>
            <w:r>
              <w:t>State the total number of employees and their distribution by role.</w:t>
            </w:r>
          </w:p>
        </w:tc>
      </w:tr>
      <w:tr>
        <w:tc>
          <w:tcPr>
            <w:tcW w:type="dxa" w:w="4320"/>
          </w:tcPr>
          <w:p>
            <w:r>
              <w:t>12</w:t>
            </w:r>
          </w:p>
        </w:tc>
        <w:tc>
          <w:tcPr>
            <w:tcW w:type="dxa" w:w="4320"/>
          </w:tcPr>
          <w:p>
            <w:r>
              <w:t>Provide at least three customer references from the public sector, with contact persons.</w:t>
            </w:r>
          </w:p>
        </w:tc>
      </w:tr>
    </w:tbl>
    <w:p/>
    <w:p>
      <w:pPr>
        <w:pStyle w:val="Heading2"/>
      </w:pPr>
      <w:r>
        <w:t>5. Прочие сведения</w:t>
      </w:r>
    </w:p>
    <w:p>
      <w:r>
        <w:t>Все сведения, полученные участниками в ходе подготовки предложения, считаются конфиденциальными. Заказчик не несёт расходов, связанных с подготовкой предложений.</w:t>
      </w:r>
    </w:p>
    <w:p>
      <w:r>
        <w:t>13. Жобаны орындау кезінде қолданылатын негізгі технологиялар стегін сипаттаңыз.</w:t>
      </w:r>
    </w:p>
    <w:p>
      <w:r>
        <w:t>14. Апаттан кейін қалпына келтіру жоспарын және қалпына келтіру уақытының мақсатын (RTO) көрсетіңіз.</w:t>
      </w:r>
    </w:p>
    <w:p>
      <w:r>
        <w:t>15. Коммерциялық ұсыныста берілетін кепілдік мерзімін (гарантия) көрсетіңіз.</w:t>
      </w:r>
    </w:p>
    <w:p>
      <w:r>
        <w:t>Контактное лицо Заказчика по вопросам закупки указывается в приглашении к участию.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RFP DEMO-2026-017 (dev set)</dc:title>
  <dc:subject/>
  <dc:creator>Steppelight Technologies (fictional company)</dc:creator>
  <cp:keywords/>
  <dc:description>generated by python-docx</dc:description>
  <cp:lastModifiedBy>Steppelight Technologies (fictional company)</cp:lastModifiedBy>
  <cp:revision>1</cp:revision>
  <dcterms:created xsi:type="dcterms:W3CDTF">2026-10-28T00:00:00Z</dcterms:created>
  <dcterms:modified xsi:type="dcterms:W3CDTF">2026-10-28T00:00:00Z</dcterms:modified>
  <cp:category/>
</cp:coreProperties>
</file>