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7A1F12"/>
          <w:sz w:val="64"/>
          <w:szCs w:val="64"/>
        </w:rPr>
        <w:t xml:space="preserve">ViandasSemana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Diseño técnico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DFD, casos de uso, DER, arquitectura y decisiones técnicas</w:t>
      </w:r>
    </w:p>
    <w:p>
      <w:pPr>
        <w:spacing w:before="1600"/>
        <w:jc w:val="center"/>
      </w:pPr>
      <w:r>
        <w:rPr>
          <w:sz w:val="24"/>
          <w:szCs w:val="24"/>
        </w:rPr>
        <w:t xml:space="preserve">Segundo Enriquez Gatti · Roman Oberlander</w:t>
      </w:r>
    </w:p>
    <w:p>
      <w:pPr>
        <w:jc w:val="center"/>
      </w:pPr>
      <w:r>
        <w:rPr>
          <w:color w:val="555555"/>
          <w:sz w:val="22"/>
          <w:szCs w:val="22"/>
        </w:rPr>
        <w:t xml:space="preserve">6.° 1.ª — E.T. N.° 21 — Programación sobre Redes — 2026</w:t>
      </w:r>
    </w:p>
    <w:p>
      <w:r>
        <w:br w:type="page"/>
      </w:r>
    </w:p>
    <w:p>
      <w:pPr>
        <w:spacing w:after="200"/>
      </w:pPr>
      <w:r>
        <w:rPr>
          <w:b/>
          <w:bCs/>
          <w:color w:val="7A1F12"/>
          <w:sz w:val="34"/>
          <w:szCs w:val="3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Diagramas de flujo de datos</w:t>
      </w:r>
    </w:p>
    <w:p>
      <w:pPr>
        <w:spacing w:after="120"/>
      </w:pPr>
      <w:r>
        <w:t xml:space="preserve">Notación </w:t>
      </w:r>
      <w:r>
        <w:rPr>
          <w:b/>
          <w:bCs/>
        </w:rPr>
        <w:t xml:space="preserve">Gane-Sarson</w:t>
      </w:r>
      <w:r>
        <w:t xml:space="preserve">: entidades externas en rectángulos azules, procesos en rectángulos redondeados amarillos con su número y almacenes de datos en rectángulos abiertos verdes con su código (D1 a D5). Cada flujo lleva el </w:t>
      </w:r>
      <w:r>
        <w:rPr>
          <w:b/>
          <w:bCs/>
        </w:rPr>
        <w:t xml:space="preserve">dato</w:t>
      </w:r>
      <w:r>
        <w:t xml:space="preserve"> que viaja, no la acción que lo origina.</w:t>
      </w:r>
    </w:p>
    <w:p>
      <w:pPr>
        <w:spacing w:after="120"/>
      </w:pPr>
      <w:r>
        <w:t xml:space="preserve">Todas las peticiones de Cliente y Cocinero (salvo registro, inicio de sesión y recuperación) llevan el token de sesión; por eso "token de sesión" entra al proceso 1, que entrega "identidad y rol" a los demás procesos.</w:t>
      </w:r>
    </w:p>
    <w:p>
      <w:pPr>
        <w:pStyle w:val="Heading2"/>
      </w:pPr>
      <w:r>
        <w:t xml:space="preserve">1.1 Nivel 0 — Diagrama de contexto</w:t>
      </w:r>
    </w:p>
    <w:p>
      <w:pPr>
        <w:spacing w:after="120" w:before="120"/>
        <w:jc w:val="center"/>
      </w:pPr>
      <w:r>
        <w:drawing>
          <wp:inline distT="0" distB="0" distL="0" distR="0">
            <wp:extent cx="5762625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diagramas/dfd-0-contexto.drawio.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3804"/>
        <w:gridCol w:w="3805"/>
      </w:tblGrid>
      <w:tr>
        <w:trPr>
          <w:tblHeader/>
        </w:trP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Entidad externa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Flujos de entrada al sistema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Flujos de salida del sistema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de registro · credenciales · token de sesión · datos de recuperación · datos del pedido · pedido a cancelar o pagar · id de pago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token de sesión · menús con precio y disponibilidad · mis pedidos con estado de pago · URL de pago · resultado del pago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credenciales · token de sesión · datos de recuperación · datos del menú · menú a eliminar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token de sesión · menús con viandas reservadas · pedidos de los clientes por día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URL de pago · notificación de pago · estado y monto del pago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orden de pago · id de pago a consultar · pago a devolver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Servicio de correo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correo con código de recuperación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Plataforma de logs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registro de eventos (JSON)</w:t>
            </w:r>
          </w:p>
        </w:tc>
      </w:tr>
    </w:tbl>
    <w:p>
      <w:pPr>
        <w:pStyle w:val="Heading2"/>
        <w:pageBreakBefore/>
      </w:pPr>
      <w:r>
        <w:t xml:space="preserve">1.2 Nivel 1</w:t>
      </w:r>
    </w:p>
    <w:p>
      <w:pPr>
        <w:spacing w:after="120" w:before="120"/>
        <w:jc w:val="center"/>
      </w:pPr>
      <w:r>
        <w:drawing>
          <wp:inline distT="0" distB="0" distL="0" distR="0">
            <wp:extent cx="5762625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diagramas/dfd-1.drawio.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"/>
        <w:gridCol w:w="2410"/>
        <w:gridCol w:w="2891"/>
        <w:gridCol w:w="3614"/>
      </w:tblGrid>
      <w:tr>
        <w:trPr>
          <w:tblHeader/>
        </w:trP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Almacenes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Gestionar acceso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Módulo 1 — Autenticación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D1 Usuarios y roles, D2 Códigos de recuperación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Gestionar menús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Módulo 2 — Menús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D3 Menús del día, D4 Pedidos (lectura)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Gestionar pedidos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Módulo 3 — Pedidos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D3, D4, D5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Procesar pagos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Módulo 4 — Pagos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D4, D5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Registrar eventos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Módulo 5 — Plataforma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— (los eventos van a la plataforma de logs)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tblHeader/>
        </w:trP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Almacén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Tabla(s) de la base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D1 Usuarios y roles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Usuario, Rol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D2 Códigos de recuperación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CodigoRecuperacion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D3 Menús del día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MenuDia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D4 Pedidos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Pedido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D5 Pagos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</w:t>
            </w:r>
          </w:p>
        </w:tc>
      </w:tr>
    </w:tbl>
    <w:p>
      <w:pPr>
        <w:pStyle w:val="Heading3"/>
      </w:pPr>
      <w:r>
        <w:t xml:space="preserve">Consistencia entre el Nivel 0 y el Nivel 1</w:t>
      </w:r>
    </w:p>
    <w:p>
      <w:pPr>
        <w:spacing w:after="120"/>
      </w:pPr>
      <w:r>
        <w:t xml:space="preserve">Cada flujo del diagrama de contexto aparece en el Nivel 1 con el mismo nombre, conectado al proceso que lo produce o lo consume. No hay en el Nivel 1 flujos con entidades externas que no estén en el Nivel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0"/>
        <w:gridCol w:w="3386"/>
        <w:gridCol w:w="1042"/>
      </w:tblGrid>
      <w:tr>
        <w:trPr>
          <w:tblHeader/>
        </w:trP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Flujo del Nivel 0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Sentido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Proceso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de registro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→ sistema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credenciales · token de sesión · datos de recuperación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Cliente, Cocinero → sistema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token de sesión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Cliente, Cocinero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correo con código de recuperación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Servicio de correo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del menú · menú a eliminar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 → sistema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menús con viandas reservadas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Cocinero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menús con precio y disponibilidad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Cliente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del pedido · pedido a cancelar o pagar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→ sistema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mis pedidos con estado de pago · URL de pago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Cliente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pedidos de los clientes por día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Cocinero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 de pago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→ sistema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resultado del pago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Cliente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orden de pago · id de pago a consultar · pago a devolver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Mercado Pago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URL de pago · notificación de pago · estado y monto del pago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→ sistema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W w:type="dxa" w:w="52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registro de eventos (JSON)</w:t>
            </w:r>
          </w:p>
        </w:tc>
        <w:tc>
          <w:tcPr>
            <w:tcW w:type="dxa" w:w="338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→ Plataforma de logs</w:t>
            </w:r>
          </w:p>
        </w:tc>
        <w:tc>
          <w:tcPr>
            <w:tcW w:type="dxa" w:w="10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</w:tr>
    </w:tbl>
    <w:p>
      <w:pPr>
        <w:pStyle w:val="Heading2"/>
      </w:pPr>
      <w:r>
        <w:t xml:space="preserve">1.3 Nivel 2</w:t>
      </w:r>
    </w:p>
    <w:p>
      <w:pPr>
        <w:spacing w:after="120"/>
      </w:pPr>
      <w:r>
        <w:t xml:space="preserve">Se descomponen los cuatro procesos que manejan datos del negocio. La numeración es jerárquica y cada diagrama usa sólo los flujos que su proceso tiene en el Nivel 1. La tabla de cada subproceso está en el documento de su módulo.</w:t>
      </w:r>
    </w:p>
    <w:p>
      <w:pPr>
        <w:pStyle w:val="Heading3"/>
        <w:pageBreakBefore/>
      </w:pPr>
      <w:r>
        <w:t xml:space="preserve">Proceso 1 — Gestionar acceso</w:t>
      </w:r>
    </w:p>
    <w:p>
      <w:pPr>
        <w:spacing w:after="120" w:before="120"/>
        <w:jc w:val="center"/>
      </w:pPr>
      <w:r>
        <w:drawing>
          <wp:inline distT="0" distB="0" distL="0" distR="0">
            <wp:extent cx="5762625" cy="741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diagramas/dfd-2-acceso.drawio.</w:t>
      </w:r>
    </w:p>
    <w:p>
      <w:pPr>
        <w:pStyle w:val="Heading3"/>
        <w:pageBreakBefore/>
      </w:pPr>
      <w:r>
        <w:t xml:space="preserve">Proceso 2 — Gestionar menús</w:t>
      </w:r>
    </w:p>
    <w:p>
      <w:pPr>
        <w:spacing w:after="120" w:before="120"/>
        <w:jc w:val="center"/>
      </w:pPr>
      <w:r>
        <w:drawing>
          <wp:inline distT="0" distB="0" distL="0" distR="0">
            <wp:extent cx="553402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diagramas/dfd-2-menus.drawio.</w:t>
      </w:r>
    </w:p>
    <w:p>
      <w:pPr>
        <w:pStyle w:val="Heading3"/>
        <w:pageBreakBefore/>
      </w:pPr>
      <w:r>
        <w:t xml:space="preserve">Proceso 3 — Gestionar pedidos</w:t>
      </w:r>
    </w:p>
    <w:p>
      <w:pPr>
        <w:spacing w:after="120" w:before="120"/>
        <w:jc w:val="center"/>
      </w:pPr>
      <w:r>
        <w:drawing>
          <wp:inline distT="0" distB="0" distL="0" distR="0">
            <wp:extent cx="576262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diagramas/dfd-2-pedidos.drawio.</w:t>
      </w:r>
    </w:p>
    <w:p>
      <w:pPr>
        <w:pStyle w:val="Heading3"/>
        <w:pageBreakBefore/>
      </w:pPr>
      <w:r>
        <w:t xml:space="preserve">Proceso 4 — Procesar pagos</w:t>
      </w:r>
    </w:p>
    <w:p>
      <w:pPr>
        <w:spacing w:after="120" w:before="120"/>
        <w:jc w:val="center"/>
      </w:pPr>
      <w:r>
        <w:drawing>
          <wp:inline distT="0" distB="0" distL="0" distR="0">
            <wp:extent cx="474345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diagramas/dfd-2-pagos.drawio.</w:t>
      </w:r>
    </w:p>
    <w:p>
      <w:pPr>
        <w:pStyle w:val="Heading1"/>
        <w:pageBreakBefore/>
      </w:pPr>
      <w:r>
        <w:t xml:space="preserve">2. Casos de uso</w:t>
      </w:r>
    </w:p>
    <w:p>
      <w:pPr>
        <w:spacing w:after="120" w:before="120"/>
        <w:jc w:val="center"/>
      </w:pPr>
      <w:r>
        <w:drawing>
          <wp:inline distT="0" distB="0" distL="0" distR="0">
            <wp:extent cx="4467225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Diagrama general de casos de uso (archivo editable: diagramas/cu-general.drawio).</w:t>
      </w:r>
    </w:p>
    <w:p>
      <w:pPr>
        <w:pStyle w:val="Heading2"/>
      </w:pPr>
      <w:r>
        <w:t xml:space="preserve">2.1 Actores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4"/>
        <w:gridCol w:w="2029"/>
        <w:gridCol w:w="3805"/>
      </w:tblGrid>
      <w:tr>
        <w:trPr>
          <w:tblHeader/>
        </w:trP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Participa en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Visitante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humano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CU-01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(generalización de Cliente y Cocinero)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humano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CU-02, CU-03, CU-04, CU-05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humano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CU-09, CU-10, CU-11, CU-14 (y los de Usuario)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humano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CU-06, CU-07, CU-08, CU-12 (y los de Usuario)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externo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CU-13, CU-14, CU-15 (avisa los pagos por webhook), CU-16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Servicio de correo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sistema externo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CU-04</w:t>
            </w:r>
          </w:p>
        </w:tc>
      </w:tr>
    </w:tbl>
    <w:p>
      <w:pPr>
        <w:pStyle w:val="Heading2"/>
      </w:pPr>
      <w:r>
        <w:t xml:space="preserve">2.2 Catálogo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5580"/>
        <w:gridCol w:w="2029"/>
      </w:tblGrid>
      <w:tr>
        <w:trPr>
          <w:tblHeader/>
        </w:trP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 principal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 Autenticación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CU-01 Registrar cuenta · CU-02 Iniciar sesión · CU-03 Cerrar sesión · CU-04 Recuperar contraseña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Visitante / Usuario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 Menús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CU-05 Consultar menús · CU-06 Crear menú · CU-07 Modificar menú · CU-08 Eliminar menú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/ Cocinero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 Pedidos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CU-09 Registrar pedido</w:t>
            </w:r>
            <w:r>
              <w:t xml:space="preserve"> · CU-10 Consultar mis pedidos · </w:t>
            </w:r>
            <w:r>
              <w:rPr>
                <w:b/>
                <w:bCs/>
              </w:rPr>
              <w:t xml:space="preserve">CU-11 Cancelar pedido</w:t>
            </w:r>
            <w:r>
              <w:t xml:space="preserve"> · CU-12 Consultar viandas a cocinar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/ Cocinero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 Pagos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CU-13 Generar orden de pago · CU-14 Pagar reserva · </w:t>
            </w:r>
            <w:r>
              <w:rPr>
                <w:b/>
                <w:bCs/>
              </w:rPr>
              <w:t xml:space="preserve">CU-15 Confirmar pago</w:t>
            </w:r>
            <w:r>
              <w:t xml:space="preserve"> · CU-16 Devolver pago · CU-17 Vencer reservas impagas</w:t>
            </w:r>
          </w:p>
        </w:tc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/ Mercado Pago</w:t>
            </w:r>
          </w:p>
        </w:tc>
      </w:tr>
    </w:tbl>
    <w:p>
      <w:pPr>
        <w:spacing w:after="120"/>
      </w:pPr>
      <w:r>
        <w:t xml:space="preserve">En negrita, los tres casos de uso principales. La plantilla completa de </w:t>
      </w:r>
      <w:r>
        <w:rPr>
          <w:b/>
          <w:bCs/>
        </w:rPr>
        <w:t xml:space="preserve">cada</w:t>
      </w:r>
      <w:r>
        <w:t xml:space="preserve"> caso de uso está en el documento de su módulo.</w:t>
      </w:r>
    </w:p>
    <w:p>
      <w:pPr>
        <w:pStyle w:val="Heading2"/>
      </w:pPr>
      <w:r>
        <w:t xml:space="preserve">2.3 Relaciones include y extend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5"/>
        <w:gridCol w:w="5073"/>
      </w:tblGrid>
      <w:tr>
        <w:trPr>
          <w:tblHeader/>
        </w:trPr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Relación</w:t>
            </w:r>
          </w:p>
        </w:tc>
        <w:tc>
          <w:tcPr>
            <w:tcW w:type="dxa" w:w="50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 qué</w:t>
            </w:r>
          </w:p>
        </w:tc>
      </w:tr>
      <w:tr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CU-09 «include» CU-13 Generar orden de pago</w:t>
            </w:r>
          </w:p>
        </w:tc>
        <w:tc>
          <w:tcPr>
            <w:tcW w:type="dxa" w:w="50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Toda reserva genera siempre su orden de pago: sin ella la reserva se cancela.</w:t>
            </w:r>
          </w:p>
        </w:tc>
      </w:tr>
      <w:tr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CU-05, CU-09, CU-10, CU-14 «include» CU-17 Vencer reservas impagas</w:t>
            </w:r>
          </w:p>
        </w:tc>
        <w:tc>
          <w:tcPr>
            <w:tcW w:type="dxa" w:w="50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ejecuta siempre antes de mostrar o contar el cupo.</w:t>
            </w:r>
          </w:p>
        </w:tc>
      </w:tr>
      <w:tr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CU-16 Devolver pago «extend» CU-11 Cancelar pedido</w:t>
            </w:r>
          </w:p>
        </w:tc>
        <w:tc>
          <w:tcPr>
            <w:tcW w:type="dxa" w:w="50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Sólo si el pedido cancelado ya estaba pagado.</w:t>
            </w:r>
          </w:p>
        </w:tc>
      </w:tr>
      <w:tr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CU-16 Devolver pago «extend» CU-15 Confirmar pago</w:t>
            </w:r>
          </w:p>
        </w:tc>
        <w:tc>
          <w:tcPr>
            <w:tcW w:type="dxa" w:w="50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Sólo si llega un pago aprobado no esperado.</w:t>
            </w:r>
          </w:p>
        </w:tc>
      </w:tr>
      <w:tr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y Cocinero son un Usuario (generalización)</w:t>
            </w:r>
          </w:p>
        </w:tc>
        <w:tc>
          <w:tcPr>
            <w:tcW w:type="dxa" w:w="50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Los dos inician y cierran sesión, recuperan la contraseña y consultan menús.</w:t>
            </w:r>
          </w:p>
        </w:tc>
      </w:tr>
    </w:tbl>
    <w:p>
      <w:pPr>
        <w:pStyle w:val="Heading1"/>
        <w:pageBreakBefore/>
      </w:pPr>
      <w:r>
        <w:t xml:space="preserve">3. Modelo de datos (DER)</w:t>
      </w:r>
    </w:p>
    <w:p>
      <w:pPr>
        <w:spacing w:after="120"/>
      </w:pPr>
      <w:r>
        <w:t xml:space="preserve">La fuente de verdad es </w:t>
      </w:r>
      <w:r>
        <w:rPr>
          <w:rFonts w:ascii="Consolas" w:cs="Consolas" w:eastAsia="Consolas" w:hAnsi="Consolas"/>
          <w:sz w:val="19"/>
          <w:szCs w:val="19"/>
        </w:rPr>
        <w:t xml:space="preserve">backend/prisma/schema.prisma</w:t>
      </w:r>
      <w:r>
        <w:t xml:space="preserve">; las tablas se crean con las migraciones de </w:t>
      </w:r>
      <w:r>
        <w:rPr>
          <w:rFonts w:ascii="Consolas" w:cs="Consolas" w:eastAsia="Consolas" w:hAnsi="Consolas"/>
          <w:sz w:val="19"/>
          <w:szCs w:val="19"/>
        </w:rPr>
        <w:t xml:space="preserve">backend/prisma/migrations/</w:t>
      </w:r>
      <w:r>
        <w:t xml:space="preserve">. El DER refleja exactamente lo implementado en PostgreSQL.</w:t>
      </w:r>
    </w:p>
    <w:p>
      <w:pPr>
        <w:spacing w:after="120" w:before="120"/>
        <w:jc w:val="center"/>
      </w:pPr>
      <w:r>
        <w:drawing>
          <wp:inline distT="0" distB="0" distL="0" distR="0">
            <wp:extent cx="379095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diagramas/der.drawio.</w:t>
      </w:r>
    </w:p>
    <w:p>
      <w:pPr>
        <w:pStyle w:val="Heading2"/>
      </w:pPr>
      <w:r>
        <w:t xml:space="preserve">3.1 Cardinalidades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3614"/>
        <w:gridCol w:w="1687"/>
      </w:tblGrid>
      <w:tr>
        <w:trPr>
          <w:tblHeader/>
        </w:trPr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Relación</w:t>
            </w:r>
          </w:p>
        </w:tc>
        <w:tc>
          <w:tcPr>
            <w:tcW w:type="dxa" w:w="144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Cardinalidad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Clave foránea</w:t>
            </w:r>
          </w:p>
        </w:tc>
        <w:tc>
          <w:tcPr>
            <w:tcW w:type="dxa" w:w="168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Al borrar el padre</w:t>
            </w:r>
          </w:p>
        </w:tc>
      </w:tr>
      <w:tr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Rol — Usuario</w:t>
            </w:r>
          </w:p>
        </w:tc>
        <w:tc>
          <w:tcPr>
            <w:tcW w:type="dxa" w:w="144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 : 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Usuario.rolId → Rol.id</w:t>
            </w:r>
          </w:p>
        </w:tc>
        <w:tc>
          <w:tcPr>
            <w:tcW w:type="dxa" w:w="168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RESTRICT</w:t>
            </w:r>
          </w:p>
        </w:tc>
      </w:tr>
      <w:tr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— CodigoRecuperacion</w:t>
            </w:r>
          </w:p>
        </w:tc>
        <w:tc>
          <w:tcPr>
            <w:tcW w:type="dxa" w:w="144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 : 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CodigoRecuperacion.usuarioId → Usuario.id</w:t>
            </w:r>
          </w:p>
        </w:tc>
        <w:tc>
          <w:tcPr>
            <w:tcW w:type="dxa" w:w="168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CASCADE</w:t>
            </w:r>
          </w:p>
        </w:tc>
      </w:tr>
      <w:tr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— Pedido</w:t>
            </w:r>
          </w:p>
        </w:tc>
        <w:tc>
          <w:tcPr>
            <w:tcW w:type="dxa" w:w="144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 : 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Pedido.usuarioId → Usuario.id</w:t>
            </w:r>
          </w:p>
        </w:tc>
        <w:tc>
          <w:tcPr>
            <w:tcW w:type="dxa" w:w="168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RESTRICT</w:t>
            </w:r>
          </w:p>
        </w:tc>
      </w:tr>
      <w:tr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MenuDia — Pedido</w:t>
            </w:r>
          </w:p>
        </w:tc>
        <w:tc>
          <w:tcPr>
            <w:tcW w:type="dxa" w:w="144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 : 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Pedido.menuId → MenuDia.id</w:t>
            </w:r>
          </w:p>
        </w:tc>
        <w:tc>
          <w:tcPr>
            <w:tcW w:type="dxa" w:w="168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RESTRICT</w:t>
            </w:r>
          </w:p>
        </w:tc>
      </w:tr>
      <w:tr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Pedido — Pago</w:t>
            </w:r>
          </w:p>
        </w:tc>
        <w:tc>
          <w:tcPr>
            <w:tcW w:type="dxa" w:w="144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 : 0..1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Pago.pedidoId → Pedido.id (UNIQUE)</w:t>
            </w:r>
          </w:p>
        </w:tc>
        <w:tc>
          <w:tcPr>
            <w:tcW w:type="dxa" w:w="168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CASCADE</w:t>
            </w:r>
          </w:p>
        </w:tc>
      </w:tr>
    </w:tbl>
    <w:p>
      <w:pPr>
        <w:pStyle w:val="Heading2"/>
      </w:pPr>
      <w:r>
        <w:t xml:space="preserve">3.2 Diccionario de datos</w:t>
      </w:r>
    </w:p>
    <w:p>
      <w:pPr>
        <w:pStyle w:val="Heading3"/>
      </w:pPr>
      <w:r>
        <w:t xml:space="preserve">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606"/>
        <w:gridCol w:w="2754"/>
        <w:gridCol w:w="3442"/>
      </w:tblGrid>
      <w:tr>
        <w:trPr>
          <w:tblHeader/>
        </w:trP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SERIAL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nombre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UNIQUE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COCINERO o CLIENTE (los inserta la migración inicial)</w:t>
            </w:r>
          </w:p>
        </w:tc>
      </w:tr>
    </w:tbl>
    <w:p>
      <w:pPr>
        <w:pStyle w:val="Heading3"/>
      </w:pPr>
      <w:r>
        <w:t xml:space="preserve">Usuario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606"/>
        <w:gridCol w:w="2754"/>
        <w:gridCol w:w="3442"/>
      </w:tblGrid>
      <w:tr>
        <w:trPr>
          <w:tblHeader/>
        </w:trP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SERIAL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UNIQUE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guarda en minúsculas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nombre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passwordHash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Hash bcrypt (incluye la sal). Nunca la contraseña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rolId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FK → Rol.id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versionToken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0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Sube en cada logout y al cambiar la contraseña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creadoEn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now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3"/>
      </w:pPr>
      <w:r>
        <w:t xml:space="preserve">CodigoRecuperacion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606"/>
        <w:gridCol w:w="2754"/>
        <w:gridCol w:w="3442"/>
      </w:tblGrid>
      <w:tr>
        <w:trPr>
          <w:tblHeader/>
        </w:trP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SERIAL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FK → Usuario.id, índice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codigoHash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HMAC-SHA256 del código de 6 dígitos. Nunca el código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venceEn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15 minutos después de creado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usadoEn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Al usarlo, reemplazarlo o bloquearlo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intentos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0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Intentos fallidos (máximo 5)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creadoEn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now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Límite de un código por minuto</w:t>
            </w:r>
          </w:p>
        </w:tc>
      </w:tr>
    </w:tbl>
    <w:p>
      <w:pPr>
        <w:pStyle w:val="Heading3"/>
      </w:pPr>
      <w:r>
        <w:t xml:space="preserve">MenuDia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606"/>
        <w:gridCol w:w="2754"/>
        <w:gridCol w:w="3442"/>
      </w:tblGrid>
      <w:tr>
        <w:trPr>
          <w:tblHeader/>
        </w:trP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SERIAL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fecha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DATE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UNIQUE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menú por día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descripcion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cupoMaximo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Viandas que se pueden cocinar ese día (≥ 1)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horaCorte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"HH:mm", hora de Argentina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precio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Pesos por vianda (0 en menús anteriores a los pagos)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creadoEn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now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3"/>
      </w:pPr>
      <w:r>
        <w:t xml:space="preserve">Pedido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606"/>
        <w:gridCol w:w="2754"/>
        <w:gridCol w:w="3442"/>
      </w:tblGrid>
      <w:tr>
        <w:trPr>
          <w:tblHeader/>
        </w:trP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SERIAL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cantidad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Viandas reservadas (≥ 1)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estado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EstadoPedido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PENDIENTE_PAGO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PENDIENTE_PAGO, CONFIRMADO o CANCELADO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FK → Usuario.id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Cliente que reservó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menuId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FK → MenuDia.id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creadoEn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now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3"/>
      </w:pPr>
      <w:r>
        <w:t xml:space="preserve">Pago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1606"/>
        <w:gridCol w:w="2754"/>
        <w:gridCol w:w="3442"/>
      </w:tblGrid>
      <w:tr>
        <w:trPr>
          <w:tblHeader/>
        </w:trP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SERIAL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PK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pedidoId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UNIQUE, FK → Pedido.id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monto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Pesos: cantidad × precio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estado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EstadoPago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PENDIENTE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PENDIENTE, APROBADO, RECHAZADO, CANCELADO o DEVUELTO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preferenciaId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NULL, UNIQUE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Preferencia de Checkout Pro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urlPago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init_point de la preferencia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mpPagoId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TEXT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 del pago en Mercado Pago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venceEn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Hasta cuándo se puede pagar</w:t>
            </w: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creadoEn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NULL, DEFAULT now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18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actualizadoEn</w:t>
            </w:r>
          </w:p>
        </w:tc>
        <w:tc>
          <w:tcPr>
            <w:tcW w:type="dxa" w:w="160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TIMESTAMP(3)</w:t>
            </w:r>
          </w:p>
        </w:tc>
        <w:tc>
          <w:tcPr>
            <w:tcW w:type="dxa" w:w="275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 NULL</w:t>
            </w:r>
          </w:p>
        </w:tc>
        <w:tc>
          <w:tcPr>
            <w:tcW w:type="dxa" w:w="344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 actualiza Prisma en cada cambio</w:t>
            </w:r>
          </w:p>
        </w:tc>
      </w:tr>
    </w:tbl>
    <w:p>
      <w:pPr>
        <w:pStyle w:val="Heading1"/>
        <w:pageBreakBefore/>
      </w:pPr>
      <w:r>
        <w:t xml:space="preserve">4. Arquitectura y despliegue</w:t>
      </w:r>
    </w:p>
    <w:p>
      <w:pPr>
        <w:spacing w:after="120" w:before="120"/>
        <w:jc w:val="center"/>
      </w:pPr>
      <w:r>
        <w:drawing>
          <wp:inline distT="0" distB="0" distL="0" distR="0">
            <wp:extent cx="5762625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diagramas/arquitectura.drawio.</w:t>
      </w:r>
    </w:p>
    <w:p>
      <w:pPr>
        <w:pStyle w:val="Heading2"/>
      </w:pPr>
      <w:r>
        <w:t xml:space="preserve">4.1 Componentes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9"/>
        <w:gridCol w:w="3373"/>
        <w:gridCol w:w="4096"/>
      </w:tblGrid>
      <w:tr>
        <w:trPr>
          <w:tblHeader/>
        </w:trP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Plataforma</w:t>
            </w:r>
          </w:p>
        </w:tc>
      </w:tr>
      <w:t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React 18 + Vite, sitio estático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Render Static Site — https://viandassemana-web.onrender.com</w:t>
            </w:r>
          </w:p>
        </w:tc>
      </w:tr>
      <w:t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Node 22 + Express 5 + TypeScript + Prisma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Render Web Service, plan Free — https://viandassemana.onrender.com</w:t>
            </w:r>
          </w:p>
        </w:tc>
      </w:tr>
      <w:t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Base de datos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PostgreSQL 16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Neon, plan Free (privada)</w:t>
            </w:r>
          </w:p>
        </w:tc>
      </w:tr>
      <w:t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Pagos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Checkout Pro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servicio externo</w:t>
            </w:r>
          </w:p>
        </w:tc>
      </w:tr>
      <w:t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Correo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SMTP de Gmail (cuenta del proyecto)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servicio externo</w:t>
            </w:r>
          </w:p>
        </w:tc>
      </w:tr>
      <w:t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Logs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pino → Render Logs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Render</w:t>
            </w:r>
          </w:p>
        </w:tc>
      </w:tr>
      <w:tr>
        <w:tc>
          <w:tcPr>
            <w:tcW w:type="dxa" w:w="21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Repositorio y CI/CD</w:t>
            </w:r>
          </w:p>
        </w:tc>
        <w:tc>
          <w:tcPr>
            <w:tcW w:type="dxa" w:w="337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GitHub + GitHub Actions</w:t>
            </w:r>
          </w:p>
        </w:tc>
        <w:tc>
          <w:tcPr>
            <w:tcW w:type="dxa" w:w="409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GitHub</w:t>
            </w:r>
          </w:p>
        </w:tc>
      </w:tr>
    </w:tbl>
    <w:p>
      <w:pPr>
        <w:spacing w:after="120"/>
      </w:pPr>
      <w:r>
        <w:t xml:space="preserve">El plan gratuito de Render duerme la API tras 15 minutos sin tráfico; la primera petición posterior tarda alrededor de un minuto.</w:t>
      </w:r>
    </w:p>
    <w:p>
      <w:pPr>
        <w:pStyle w:val="Heading2"/>
      </w:pPr>
      <w:r>
        <w:t xml:space="preserve">4.2 Comunicaciones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4"/>
        <w:gridCol w:w="5834"/>
      </w:tblGrid>
      <w:tr>
        <w:trPr>
          <w:tblHeader/>
        </w:trP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Desde → hacia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Protocolo y puerto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Navegador → frontend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HTTPS, 443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Navegador → API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HTTPS, 443, JSON, Authorization: Bearer &lt;token&gt;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→ Neon PostgreSQL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PostgreSQL sobre TLS, 5432 (Prisma)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→ Mercado Pago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HTTPS, 443, REST con Bearer MP_ACCESS_TOKEN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 → API (webhook)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HTTPS, 443, POST /api/pagos/notificacion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→ Gmail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SMTP con TLS, 465</w:t>
            </w:r>
          </w:p>
        </w:tc>
      </w:tr>
      <w:tr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GitHub Actions → Render</w:t>
            </w:r>
          </w:p>
        </w:tc>
        <w:tc>
          <w:tcPr>
            <w:tcW w:type="dxa" w:w="583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HTTPS, 443, POST a los deploy hooks</w:t>
            </w:r>
          </w:p>
        </w:tc>
      </w:tr>
    </w:tbl>
    <w:p>
      <w:pPr>
        <w:spacing w:after="120"/>
      </w:pPr>
      <w:r>
        <w:t xml:space="preserve">El frontend nunca habla con la base de datos: todo pasa por la API.</w:t>
      </w:r>
    </w:p>
    <w:p>
      <w:pPr>
        <w:pStyle w:val="Heading2"/>
      </w:pPr>
      <w:r>
        <w:t xml:space="preserve">4.3 Secretos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Secreto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Dónde se carga</w:t>
            </w:r>
          </w:p>
        </w:tc>
        <w:tc>
          <w:tcPr>
            <w:tcW w:type="dxa" w:w="289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Cómo llega</w:t>
            </w:r>
          </w:p>
        </w:tc>
      </w:tr>
      <w:tr>
        <w:tc>
          <w:tcPr>
            <w:tcW w:type="dxa" w:w="385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DATABASE_URL, JWT_SECRET, MP_ACCESS_TOKEN, SMTP_USER, SMTP_PASS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Variables de entorno del Web Service en Render</w:t>
            </w:r>
          </w:p>
        </w:tc>
        <w:tc>
          <w:tcPr>
            <w:tcW w:type="dxa" w:w="289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process.env → config/env.ts (única lectura)</w:t>
            </w:r>
          </w:p>
        </w:tc>
      </w:tr>
      <w:tr>
        <w:tc>
          <w:tcPr>
            <w:tcW w:type="dxa" w:w="385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VITE_API_URL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Variable del Static Site en Render</w:t>
            </w:r>
          </w:p>
        </w:tc>
        <w:tc>
          <w:tcPr>
            <w:tcW w:type="dxa" w:w="289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Vite la escribe al construir (es pública)</w:t>
            </w:r>
          </w:p>
        </w:tc>
      </w:tr>
      <w:tr>
        <w:tc>
          <w:tcPr>
            <w:tcW w:type="dxa" w:w="385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DEPLOY_HOOK_BACKEND, DEPLOY_HOOK_FRONTEND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Secretos de GitHub Actions</w:t>
            </w:r>
          </w:p>
        </w:tc>
        <w:tc>
          <w:tcPr>
            <w:tcW w:type="dxa" w:w="289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${{ secrets.* }} en el job desplegar</w:t>
            </w:r>
          </w:p>
        </w:tc>
      </w:tr>
    </w:tbl>
    <w:p>
      <w:pPr>
        <w:spacing w:after="120"/>
      </w:pPr>
      <w:r>
        <w:t xml:space="preserve">Ningún secreto está en el repositorio: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está en </w:t>
      </w:r>
      <w:r>
        <w:rPr>
          <w:rFonts w:ascii="Consolas" w:cs="Consolas" w:eastAsia="Consolas" w:hAnsi="Consolas"/>
          <w:sz w:val="19"/>
          <w:szCs w:val="19"/>
        </w:rPr>
        <w:t xml:space="preserve">.gitignore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.env.example</w:t>
      </w:r>
      <w:r>
        <w:t xml:space="preserve"> sólo tiene nombres.</w:t>
      </w:r>
    </w:p>
    <w:p>
      <w:pPr>
        <w:pStyle w:val="Heading2"/>
      </w:pPr>
      <w:r>
        <w:t xml:space="preserve">4.4 Del push a producción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integrante sube una rama y abre un pull request a main (rama protegida).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corre los jobs backend (migraciones, 78 tests, cobertura ≥ 65 %, build) y frontend (build).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hace merge; en el push a main se vuelve a correr el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Sólo si los dos jobs pasaron, el job desplegar llama a los deploy hooks de Render.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descarga el commit de main, lo construye y reemplaza la versión en línea.</w:t>
      </w:r>
    </w:p>
    <w:p>
      <w:pPr>
        <w:pStyle w:val="Heading2"/>
      </w:pPr>
      <w:r>
        <w:t xml:space="preserve">4.5 Ambiente local y de producción</w:t>
      </w:r>
    </w:p>
    <w:p>
      <w:pPr>
        <w:spacing w:after="120" w:before="120"/>
        <w:jc w:val="center"/>
      </w:pPr>
      <w:r>
        <w:drawing>
          <wp:inline distT="0" distB="0" distL="0" distR="0">
            <wp:extent cx="576262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diagramas/ambientes.drawio.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3804"/>
        <w:gridCol w:w="3805"/>
      </w:tblGrid>
      <w:tr>
        <w:trPr>
          <w:tblHeader/>
        </w:trP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Local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Producción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npm run dev, http://localhost:5173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Render Static Site, HTTPS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npm run dev, http://localhost:3000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Render Web Service, HTTPS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Base de datos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viandas_dev en localhost:5432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Neon PostgreSQL remota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Base de tests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viandas_test en localhost:5433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contenedor efímero en GitHub Actions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Configuración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archivos .env (no se suben)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variables de Render y secretos de GitHub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credenciales de prueba; el pago se confirma cuando el cliente vuelve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webhook a la API pública</w:t>
            </w:r>
          </w:p>
        </w:tc>
      </w:tr>
      <w:tr>
        <w:tc>
          <w:tcPr>
            <w:tcW w:type="dxa" w:w="202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Logs</w:t>
            </w:r>
          </w:p>
        </w:tc>
        <w:tc>
          <w:tcPr>
            <w:tcW w:type="dxa" w:w="380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la terminal</w:t>
            </w:r>
          </w:p>
        </w:tc>
        <w:tc>
          <w:tcPr>
            <w:tcW w:type="dxa" w:w="380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Render Logs</w:t>
            </w:r>
          </w:p>
        </w:tc>
      </w:tr>
    </w:tbl>
    <w:p>
      <w:pPr>
        <w:spacing w:after="120"/>
      </w:pPr>
      <w:r>
        <w:t xml:space="preserve">La diferencia entre ambientes se resuelve sólo por configuración: el mismo código corre en los dos.</w:t>
      </w:r>
    </w:p>
    <w:p>
      <w:pPr>
        <w:pStyle w:val="Heading1"/>
        <w:pageBreakBefore/>
      </w:pPr>
      <w:r>
        <w:t xml:space="preserve">5. Decisiones técnicas</w:t>
      </w:r>
    </w:p>
    <w:p>
      <w:pPr>
        <w:spacing w:after="120"/>
      </w:pPr>
      <w:r>
        <w:t xml:space="preserve">Criterios: </w:t>
      </w:r>
      <w:r>
        <w:rPr>
          <w:b/>
          <w:bCs/>
        </w:rPr>
        <w:t xml:space="preserve">costo</w:t>
      </w:r>
      <w:r>
        <w:t xml:space="preserve"> (todo debía ser gratuito), </w:t>
      </w:r>
      <w:r>
        <w:rPr>
          <w:b/>
          <w:bCs/>
        </w:rPr>
        <w:t xml:space="preserve">curva de aprendizaje</w:t>
      </w:r>
      <w:r>
        <w:t xml:space="preserve"> para dos integrantes, </w:t>
      </w:r>
      <w:r>
        <w:rPr>
          <w:b/>
          <w:bCs/>
        </w:rPr>
        <w:t xml:space="preserve">calidad de la documentación</w:t>
      </w:r>
      <w:r>
        <w:t xml:space="preserve"> y </w:t>
      </w:r>
      <w:r>
        <w:rPr>
          <w:b/>
          <w:bCs/>
        </w:rPr>
        <w:t xml:space="preserve">adecuación al problema</w:t>
      </w:r>
      <w:r>
        <w:t xml:space="preserve"> (pocas pantallas, reglas de cupo y horario que se cumplen aun con pedidos simultáneos, y cobro en pesos).</w:t>
      </w:r>
    </w:p>
    <w:p>
      <w:pPr>
        <w:pStyle w:val="Heading3"/>
      </w:pPr>
      <w:r>
        <w:t xml:space="preserve">1. Frontend — React 18 + Vite (TypeScript), sin librerías de UI ni router</w:t>
      </w:r>
    </w:p>
    <w:p>
      <w:pPr>
        <w:spacing w:after="120"/>
      </w:pPr>
      <w:r>
        <w:rPr>
          <w:b/>
          <w:bCs/>
        </w:rPr>
        <w:t xml:space="preserve">Alternativas:</w:t>
      </w:r>
      <w:r>
        <w:t xml:space="preserve"> Angular; Vue 3; Next.js.</w:t>
      </w:r>
    </w:p>
    <w:p>
      <w:pPr>
        <w:spacing w:after="120"/>
      </w:pPr>
      <w:r>
        <w:rPr>
          <w:b/>
          <w:bCs/>
        </w:rPr>
        <w:t xml:space="preserve">Fundamento:</w:t>
      </w:r>
      <w:r>
        <w:t xml:space="preserve"> React tiene la documentación y la cantidad de ejemplos más grandes y ya lo conocíamos; Vite construye un sitio estático que se publica gratis en un CDN. Angular exige aprender mucho más para cuatro pantallas; Next.js agrega renderizado en el servidor, que no necesitamos.</w:t>
      </w:r>
    </w:p>
    <w:p>
      <w:pPr>
        <w:spacing w:after="120"/>
      </w:pPr>
      <w:r>
        <w:rPr>
          <w:b/>
          <w:bCs/>
        </w:rPr>
        <w:t xml:space="preserve">Se resigna:</w:t>
      </w:r>
      <w:r>
        <w:t xml:space="preserve"> las herramientas que trae Angular "de fábrica" y el SEO del renderizado en servidor; las pestañas se manejan con estado.</w:t>
      </w:r>
    </w:p>
    <w:p>
      <w:pPr>
        <w:pStyle w:val="Heading3"/>
      </w:pPr>
      <w:r>
        <w:t xml:space="preserve">2. Backend — Node 22 + Express 5 + TypeScript, validación con zod</w:t>
      </w:r>
    </w:p>
    <w:p>
      <w:pPr>
        <w:spacing w:after="120"/>
      </w:pPr>
      <w:r>
        <w:rPr>
          <w:b/>
          <w:bCs/>
        </w:rPr>
        <w:t xml:space="preserve">Alternativas:</w:t>
      </w:r>
      <w:r>
        <w:t xml:space="preserve"> Python con FastAPI; Java con Spring Boot.</w:t>
      </w:r>
    </w:p>
    <w:p>
      <w:pPr>
        <w:spacing w:after="120"/>
      </w:pPr>
      <w:r>
        <w:rPr>
          <w:b/>
          <w:bCs/>
        </w:rPr>
        <w:t xml:space="preserve">Fundamento:</w:t>
      </w:r>
      <w:r>
        <w:t xml:space="preserve"> el mismo lenguaje que el frontend; Express es mínimo y muy documentado; Express 5 lleva solos los errores de las rutas async al manejador central; zod da errores 400 claros por campo. Spring Boot es más pesado de aprender y de correr en un plan gratuito de 512 MB.</w:t>
      </w:r>
    </w:p>
    <w:p>
      <w:pPr>
        <w:spacing w:after="120"/>
      </w:pPr>
      <w:r>
        <w:rPr>
          <w:b/>
          <w:bCs/>
        </w:rPr>
        <w:t xml:space="preserve">Se resigna:</w:t>
      </w:r>
      <w:r>
        <w:t xml:space="preserve"> la estructura impuesta de un framework más grande y la documentación automática de la API de FastAPI.</w:t>
      </w:r>
    </w:p>
    <w:p>
      <w:pPr>
        <w:pStyle w:val="Heading3"/>
      </w:pPr>
      <w:r>
        <w:t xml:space="preserve">3. Base de datos — PostgreSQL en Neon, con Prisma</w:t>
      </w:r>
    </w:p>
    <w:p>
      <w:pPr>
        <w:spacing w:after="120"/>
      </w:pPr>
      <w:r>
        <w:rPr>
          <w:b/>
          <w:bCs/>
        </w:rPr>
        <w:t xml:space="preserve">Alternativas:</w:t>
      </w:r>
      <w:r>
        <w:t xml:space="preserve"> MySQL en Aiven o Railway; MongoDB Atlas; Supabase.</w:t>
      </w:r>
    </w:p>
    <w:p>
      <w:pPr>
        <w:spacing w:after="120"/>
      </w:pPr>
      <w:r>
        <w:rPr>
          <w:b/>
          <w:bCs/>
        </w:rPr>
        <w:t xml:space="preserve">Fundamento:</w:t>
      </w:r>
      <w:r>
        <w:t xml:space="preserve"> el negocio es relacional y la regla de cupo necesita transacciones con bloqueo de fila (SELECT … FOR UPDATE), que PostgreSQL resuelve bien. Neon es gratis, remoto y con TLS. Prisma da migraciones versionadas y consultas tipadas.</w:t>
      </w:r>
    </w:p>
    <w:p>
      <w:pPr>
        <w:spacing w:after="120"/>
      </w:pPr>
      <w:r>
        <w:rPr>
          <w:b/>
          <w:bCs/>
        </w:rPr>
        <w:t xml:space="preserve">Se resigna:</w:t>
      </w:r>
      <w:r>
        <w:t xml:space="preserve"> el panel y la autenticación incluidos de Supabase y algo de control fino del SQL. El plan gratuito se suspende sin uso.</w:t>
      </w:r>
    </w:p>
    <w:p>
      <w:pPr>
        <w:pStyle w:val="Heading3"/>
      </w:pPr>
      <w:r>
        <w:t xml:space="preserve">4. Autenticación — propia, con bcrypt, JWT (8 h) y roles en la tabla Rol</w:t>
      </w:r>
    </w:p>
    <w:p>
      <w:pPr>
        <w:spacing w:after="120"/>
      </w:pPr>
      <w:r>
        <w:rPr>
          <w:b/>
          <w:bCs/>
        </w:rPr>
        <w:t xml:space="preserve">Alternativas:</w:t>
      </w:r>
      <w:r>
        <w:t xml:space="preserve"> Auth0 o Clerk; sesiones con cookie guardadas en la base.</w:t>
      </w:r>
    </w:p>
    <w:p>
      <w:pPr>
        <w:spacing w:after="120"/>
      </w:pPr>
      <w:r>
        <w:rPr>
          <w:b/>
          <w:bCs/>
        </w:rPr>
        <w:t xml:space="preserve">Fundamento:</w:t>
      </w:r>
      <w:r>
        <w:t xml:space="preserve"> son pocas reglas, se prueban con tests de integración (401 y 403) y se explican completas en la defensa. Para cerrar sesión de verdad se agregó versionToken.</w:t>
      </w:r>
    </w:p>
    <w:p>
      <w:pPr>
        <w:spacing w:after="120"/>
      </w:pPr>
      <w:r>
        <w:rPr>
          <w:b/>
          <w:bCs/>
        </w:rPr>
        <w:t xml:space="preserve">Se resigna:</w:t>
      </w:r>
      <w:r>
        <w:t xml:space="preserve"> inicio de sesión con Google y verificación del email; el token en localStorage depende de que el frontend no tenga XSS.</w:t>
      </w:r>
    </w:p>
    <w:p>
      <w:pPr>
        <w:pStyle w:val="Heading3"/>
      </w:pPr>
      <w:r>
        <w:t xml:space="preserve">5. Despliegue y CI/CD — Render + GitHub Actions</w:t>
      </w:r>
    </w:p>
    <w:p>
      <w:pPr>
        <w:spacing w:after="120"/>
      </w:pPr>
      <w:r>
        <w:rPr>
          <w:b/>
          <w:bCs/>
        </w:rPr>
        <w:t xml:space="preserve">Alternativas:</w:t>
      </w:r>
      <w:r>
        <w:t xml:space="preserve"> Vercel + Railway; un VPS con Docker.</w:t>
      </w:r>
    </w:p>
    <w:p>
      <w:pPr>
        <w:spacing w:after="120"/>
      </w:pPr>
      <w:r>
        <w:rPr>
          <w:b/>
          <w:bCs/>
        </w:rPr>
        <w:t xml:space="preserve">Fundamento:</w:t>
      </w:r>
      <w:r>
        <w:t xml:space="preserve"> Render tiene plan gratuito para los dos componentes, HTTPS automático, secretos y deploy hooks; GitHub Actions permite que el despliegue dependa de los tests y la cobertura (≥ 65 %).</w:t>
      </w:r>
    </w:p>
    <w:p>
      <w:pPr>
        <w:spacing w:after="120"/>
      </w:pPr>
      <w:r>
        <w:rPr>
          <w:b/>
          <w:bCs/>
        </w:rPr>
        <w:t xml:space="preserve">Se resigna:</w:t>
      </w:r>
      <w:r>
        <w:t xml:space="preserve"> la API se duerme tras 15 minutos sin uso y los logs gratuitos guardan poco historial.</w:t>
      </w:r>
    </w:p>
    <w:p>
      <w:pPr>
        <w:pStyle w:val="Heading3"/>
      </w:pPr>
      <w:r>
        <w:t xml:space="preserve">6. Tecnología avanzada — integración con Mercado Pago, más logs estructurados</w:t>
      </w:r>
    </w:p>
    <w:p>
      <w:pPr>
        <w:spacing w:after="120"/>
      </w:pPr>
      <w:r>
        <w:rPr>
          <w:b/>
          <w:bCs/>
        </w:rPr>
        <w:t xml:space="preserve">Alternativas:</w:t>
      </w:r>
      <w:r>
        <w:t xml:space="preserve"> observabilidad sola con una herramienta externa; caché con Redis.</w:t>
      </w:r>
    </w:p>
    <w:p>
      <w:pPr>
        <w:spacing w:after="120"/>
      </w:pPr>
      <w:r>
        <w:rPr>
          <w:b/>
          <w:bCs/>
        </w:rPr>
        <w:t xml:space="preserve">Fundamento:</w:t>
      </w:r>
      <w:r>
        <w:t xml:space="preserve"> resuelve un problema real: las reservas sin pagar ocupaban cupo. Ahora una reserva sólo se confirma con el pago aprobado y se libera sola si vence. El estado se consulta siempre a Mercado Pago y la falla o demora del servicio responde 502/503 sin dejar reservas trabadas.</w:t>
      </w:r>
    </w:p>
    <w:p>
      <w:pPr>
        <w:spacing w:after="120"/>
      </w:pPr>
      <w:r>
        <w:rPr>
          <w:b/>
          <w:bCs/>
        </w:rPr>
        <w:t xml:space="preserve">Se resigna:</w:t>
      </w:r>
      <w:r>
        <w:t xml:space="preserve"> Mercado Pago cobra comisión por venta; en local no llega el webhook; sin herramienta de logs externa el historial es corto.</w:t>
      </w:r>
    </w:p>
    <w:p>
      <w:pPr>
        <w:pStyle w:val="Heading2"/>
      </w:pPr>
      <w:r>
        <w:t xml:space="preserve">Declaración de uso de inteligencia artificial</w:t>
      </w:r>
    </w:p>
    <w:p>
      <w:pPr>
        <w:spacing w:after="120"/>
      </w:pPr>
      <w:r>
        <w:t xml:space="preserve">Durante el desarrollo se usó </w:t>
      </w:r>
      <w:r>
        <w:rPr>
          <w:b/>
          <w:bCs/>
        </w:rPr>
        <w:t xml:space="preserve">Claude (Anthropic)</w:t>
      </w:r>
      <w:r>
        <w:t xml:space="preserve">, a través de Claude Code, para: generación de código del backend y del frontend, escritura de tests, interpretación de errores del pipeline y de Mercado Pago, redacción de la documentación y elaboración de los diagramas (DFD, casos de uso, DER y arquitectura, a partir del código del repositorio). Los integrantes definieron el producto y sus reglas de negocio, eligieron entre las alternativas de esta sección, probaron el sistema funcionando y asumen la responsabilidad de comprender y explicar todo lo entregado.</w:t>
      </w:r>
    </w:p>
    <w:p>
      <w:pPr>
        <w:spacing w:after="120"/>
      </w:pPr>
      <w:r>
        <w:rPr>
          <w:i/>
          <w:iCs/>
          <w:color w:val="555555"/>
        </w:rPr>
        <w:t xml:space="preserve">Revisar y completar esta declaración con lo que efectivamente hizo cada integrante.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ViandasSemana — Diseño técnico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F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7A1F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e06cbc561fd8f8090ac83678c6c7d06685831d.png"/><Relationship Id="rId9" Type="http://schemas.openxmlformats.org/officeDocument/2006/relationships/image" Target="media/5713718769065a6b3e3d8d0a6ee560afa0d06d53.png"/><Relationship Id="rId10" Type="http://schemas.openxmlformats.org/officeDocument/2006/relationships/image" Target="media/324dc00ff2edafc1c368038f2829dfb1f85ed21e.png"/><Relationship Id="rId11" Type="http://schemas.openxmlformats.org/officeDocument/2006/relationships/image" Target="media/0bb6309528ea17917d684bf571a29e4d4e0b9485.png"/><Relationship Id="rId12" Type="http://schemas.openxmlformats.org/officeDocument/2006/relationships/image" Target="media/e1fa6efe5294f20188baa5d6b5a27b96627ec2b8.png"/><Relationship Id="rId13" Type="http://schemas.openxmlformats.org/officeDocument/2006/relationships/image" Target="media/d6a2c7af55b97178cb6a9c5f95e5bbe0fd167333.png"/><Relationship Id="rId14" Type="http://schemas.openxmlformats.org/officeDocument/2006/relationships/image" Target="media/a5ebbdd41dfe2c45b11f1990f3d510752ac2dc8d.png"/><Relationship Id="rId15" Type="http://schemas.openxmlformats.org/officeDocument/2006/relationships/image" Target="media/b522be0e7c83e4ea3e0c0573c5d3dfeea0a71bcf.png"/><Relationship Id="rId16" Type="http://schemas.openxmlformats.org/officeDocument/2006/relationships/image" Target="media/8f05f39060df484fb63cfb3db3ba914b398d4abd.png"/><Relationship Id="rId17" Type="http://schemas.openxmlformats.org/officeDocument/2006/relationships/image" Target="media/59212179bf945dba0c9137b19a047b4fbcbec04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ViandasSemana — Diseño técnico</dc:title>
  <dc:creator>ViandasSemana</dc:creator>
  <cp:lastModifiedBy>Un-named</cp:lastModifiedBy>
  <cp:revision>1</cp:revision>
  <dcterms:created xsi:type="dcterms:W3CDTF">2026-10-14T12:59:41.611Z</dcterms:created>
  <dcterms:modified xsi:type="dcterms:W3CDTF">2026-10-14T12:59:41.611Z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