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AEE9" w14:textId="4BC115A5" w:rsidR="007E48C9" w:rsidRPr="007E48C9" w:rsidRDefault="007E48C9" w:rsidP="007E48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</w:pP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>However, the framework warns that the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 xml:space="preserve">extreme localisation of languages like </w:t>
      </w:r>
      <w:proofErr w:type="spellStart"/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>Nanabin</w:t>
      </w:r>
      <w:proofErr w:type="spellEnd"/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 xml:space="preserve"> Sign Language—used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>primarily within a single extended family—makes them inherently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>vulnerable, proving that even in a linguistically diverse environment,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>the smallest ecospheres require targeted policy support to prevent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GB"/>
        </w:rPr>
        <w:t>total disappearance.</w:t>
      </w:r>
    </w:p>
    <w:sectPr w:rsidR="007E48C9" w:rsidRPr="007E4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C9"/>
    <w:rsid w:val="0051394D"/>
    <w:rsid w:val="007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FAD0F1"/>
  <w15:chartTrackingRefBased/>
  <w15:docId w15:val="{60F0F43D-D1BE-E745-8CA6-0A52FA16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2026-06-18T14:38:00Z</dcterms:created>
  <dcterms:modified xsi:type="dcterms:W3CDTF">2026-06-18T15:18:00Z</dcterms:modified>
</cp:coreProperties>
</file>