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BF2E" w14:textId="5BDB83E6" w:rsidR="00B807BF" w:rsidRDefault="00B807BF" w:rsidP="00B807BF">
      <w:pPr>
        <w:pStyle w:val="ListParagraph"/>
        <w:numPr>
          <w:ilvl w:val="0"/>
          <w:numId w:val="2"/>
        </w:numPr>
        <w:rPr>
          <w:rFonts w:ascii="Times New Roman" w:hAnsi="Times New Roman" w:cs="Times New Roman"/>
        </w:rPr>
      </w:pPr>
      <w:r w:rsidRPr="003A1F5D">
        <w:rPr>
          <w:rFonts w:ascii="Times New Roman" w:hAnsi="Times New Roman" w:cs="Times New Roman"/>
        </w:rPr>
        <w:t xml:space="preserve"> Old Republic International (ORI)(</w:t>
      </w:r>
      <w:hyperlink r:id="rId7" w:history="1">
        <w:r w:rsidRPr="003A1F5D">
          <w:rPr>
            <w:rStyle w:val="Hyperlink"/>
            <w:rFonts w:ascii="Times New Roman" w:hAnsi="Times New Roman" w:cs="Times New Roman"/>
            <w:shd w:val="clear" w:color="auto" w:fill="FFFFFF"/>
          </w:rPr>
          <w:t>https://www.oldrepublic.com/</w:t>
        </w:r>
      </w:hyperlink>
      <w:r w:rsidRPr="003A1F5D">
        <w:rPr>
          <w:rFonts w:ascii="Times New Roman" w:hAnsi="Times New Roman" w:cs="Times New Roman"/>
        </w:rPr>
        <w:t>) Chicago</w:t>
      </w:r>
    </w:p>
    <w:p w14:paraId="13E2159C" w14:textId="77777777" w:rsidR="006B2FD8" w:rsidRPr="003A1F5D" w:rsidRDefault="006B2FD8" w:rsidP="006B2FD8">
      <w:pPr>
        <w:pStyle w:val="ListParagraph"/>
        <w:rPr>
          <w:rFonts w:ascii="Times New Roman" w:hAnsi="Times New Roman" w:cs="Times New Roman"/>
        </w:rPr>
      </w:pPr>
    </w:p>
    <w:p w14:paraId="7FCA3F76" w14:textId="489A16CB" w:rsidR="00BB76C4" w:rsidRPr="00BB76C4" w:rsidRDefault="00B807BF" w:rsidP="00BB76C4">
      <w:pPr>
        <w:pStyle w:val="ListParagraph"/>
        <w:numPr>
          <w:ilvl w:val="0"/>
          <w:numId w:val="2"/>
        </w:numPr>
        <w:rPr>
          <w:rFonts w:ascii="Times New Roman" w:hAnsi="Times New Roman" w:cs="Times New Roman"/>
        </w:rPr>
      </w:pPr>
      <w:r w:rsidRPr="00B807BF">
        <w:rPr>
          <w:rFonts w:ascii="Times New Roman" w:hAnsi="Times New Roman" w:cs="Times New Roman"/>
        </w:rPr>
        <w:t xml:space="preserve">The corporate structure of Old Republic International Corporation is that of a </w:t>
      </w:r>
      <w:r w:rsidRPr="00B807BF">
        <w:rPr>
          <w:rFonts w:ascii="Times New Roman" w:hAnsi="Times New Roman" w:cs="Times New Roman"/>
          <w:b/>
          <w:bCs/>
        </w:rPr>
        <w:t>holding company</w:t>
      </w:r>
      <w:r w:rsidRPr="00B807BF">
        <w:rPr>
          <w:rFonts w:ascii="Times New Roman" w:hAnsi="Times New Roman" w:cs="Times New Roman"/>
        </w:rPr>
        <w:t xml:space="preserve"> that owns numerous operating subsidiaries. The parent company itself does not directly sell insurance products; instead, it controls and coordinates the activities of its subsidiary companies. </w:t>
      </w:r>
    </w:p>
    <w:p w14:paraId="742C3F52" w14:textId="7AD10020" w:rsidR="00B807BF" w:rsidRPr="003A1F5D" w:rsidRDefault="00B807BF" w:rsidP="002E06E0">
      <w:pPr>
        <w:pStyle w:val="ListParagraph"/>
        <w:rPr>
          <w:rFonts w:ascii="Times New Roman" w:hAnsi="Times New Roman" w:cs="Times New Roman"/>
          <w:b/>
          <w:bCs/>
        </w:rPr>
      </w:pPr>
      <w:r w:rsidRPr="00B807BF">
        <w:rPr>
          <w:rFonts w:ascii="Times New Roman" w:hAnsi="Times New Roman" w:cs="Times New Roman"/>
          <w:b/>
          <w:bCs/>
        </w:rPr>
        <w:t>Overall Corporate Structure</w:t>
      </w:r>
      <w:r w:rsidR="002E06E0" w:rsidRPr="003A1F5D">
        <w:rPr>
          <w:rFonts w:ascii="Times New Roman" w:hAnsi="Times New Roman" w:cs="Times New Roman"/>
          <w:b/>
          <w:bCs/>
        </w:rPr>
        <w:t xml:space="preserve">: </w:t>
      </w:r>
      <w:r w:rsidRPr="003A1F5D">
        <w:rPr>
          <w:rFonts w:ascii="Times New Roman" w:hAnsi="Times New Roman" w:cs="Times New Roman"/>
        </w:rPr>
        <w:t xml:space="preserve">According to the company’s most recent </w:t>
      </w:r>
      <w:r w:rsidRPr="003A1F5D">
        <w:rPr>
          <w:rFonts w:ascii="Times New Roman" w:hAnsi="Times New Roman" w:cs="Times New Roman"/>
          <w:b/>
          <w:bCs/>
        </w:rPr>
        <w:t>Form 10-K (Exhibit 21: Subsidiaries of the Registrant)</w:t>
      </w:r>
      <w:r w:rsidRPr="003A1F5D">
        <w:rPr>
          <w:rFonts w:ascii="Times New Roman" w:hAnsi="Times New Roman" w:cs="Times New Roman"/>
        </w:rPr>
        <w:t>:</w:t>
      </w:r>
      <w:r w:rsidR="002E06E0" w:rsidRPr="003A1F5D">
        <w:rPr>
          <w:rFonts w:ascii="Times New Roman" w:hAnsi="Times New Roman" w:cs="Times New Roman"/>
        </w:rPr>
        <w:t xml:space="preserve"> </w:t>
      </w:r>
      <w:r w:rsidRPr="003A1F5D">
        <w:rPr>
          <w:rFonts w:ascii="Times New Roman" w:hAnsi="Times New Roman" w:cs="Times New Roman"/>
        </w:rPr>
        <w:t xml:space="preserve">Old Republic operates through </w:t>
      </w:r>
      <w:r w:rsidRPr="003A1F5D">
        <w:rPr>
          <w:rFonts w:ascii="Times New Roman" w:hAnsi="Times New Roman" w:cs="Times New Roman"/>
          <w:b/>
          <w:bCs/>
        </w:rPr>
        <w:t xml:space="preserve">well over </w:t>
      </w:r>
      <w:r w:rsidR="006B2FD8" w:rsidRPr="003A1F5D">
        <w:rPr>
          <w:rFonts w:ascii="Times New Roman" w:hAnsi="Times New Roman" w:cs="Times New Roman"/>
          <w:b/>
          <w:bCs/>
        </w:rPr>
        <w:t>one hundred</w:t>
      </w:r>
      <w:r w:rsidRPr="003A1F5D">
        <w:rPr>
          <w:rFonts w:ascii="Times New Roman" w:hAnsi="Times New Roman" w:cs="Times New Roman"/>
          <w:b/>
          <w:bCs/>
        </w:rPr>
        <w:t xml:space="preserve"> subsidiary entities</w:t>
      </w:r>
      <w:r w:rsidRPr="003A1F5D">
        <w:rPr>
          <w:rFonts w:ascii="Times New Roman" w:hAnsi="Times New Roman" w:cs="Times New Roman"/>
        </w:rPr>
        <w:t xml:space="preserve"> (</w:t>
      </w:r>
      <w:r w:rsidR="006B2FD8" w:rsidRPr="003A1F5D">
        <w:rPr>
          <w:rFonts w:ascii="Times New Roman" w:hAnsi="Times New Roman" w:cs="Times New Roman"/>
        </w:rPr>
        <w:t>130</w:t>
      </w:r>
      <w:r w:rsidRPr="003A1F5D">
        <w:rPr>
          <w:rFonts w:ascii="Times New Roman" w:hAnsi="Times New Roman" w:cs="Times New Roman"/>
          <w:b/>
          <w:bCs/>
        </w:rPr>
        <w:t>–</w:t>
      </w:r>
      <w:r w:rsidRPr="00BB76C4">
        <w:rPr>
          <w:rFonts w:ascii="Times New Roman" w:hAnsi="Times New Roman" w:cs="Times New Roman"/>
        </w:rPr>
        <w:t>140 corporate entities</w:t>
      </w:r>
      <w:r w:rsidRPr="003A1F5D">
        <w:rPr>
          <w:rFonts w:ascii="Times New Roman" w:hAnsi="Times New Roman" w:cs="Times New Roman"/>
        </w:rPr>
        <w:t xml:space="preserve"> depending on counting method). Among these are </w:t>
      </w:r>
      <w:r w:rsidR="006B2FD8" w:rsidRPr="003A1F5D">
        <w:rPr>
          <w:rFonts w:ascii="Times New Roman" w:hAnsi="Times New Roman" w:cs="Times New Roman"/>
          <w:b/>
          <w:bCs/>
        </w:rPr>
        <w:t>twenty-seven</w:t>
      </w:r>
      <w:r w:rsidRPr="003A1F5D">
        <w:rPr>
          <w:rFonts w:ascii="Times New Roman" w:hAnsi="Times New Roman" w:cs="Times New Roman"/>
          <w:b/>
          <w:bCs/>
        </w:rPr>
        <w:t xml:space="preserve"> regulated insurance subsidiaries</w:t>
      </w:r>
      <w:r w:rsidRPr="003A1F5D">
        <w:rPr>
          <w:rFonts w:ascii="Times New Roman" w:hAnsi="Times New Roman" w:cs="Times New Roman"/>
        </w:rPr>
        <w:t xml:space="preserve"> that conduct underwriting operations. The parent company owns </w:t>
      </w:r>
      <w:r w:rsidRPr="003A1F5D">
        <w:rPr>
          <w:rFonts w:ascii="Times New Roman" w:hAnsi="Times New Roman" w:cs="Times New Roman"/>
          <w:b/>
          <w:bCs/>
        </w:rPr>
        <w:t>most subsidiaries at 100% ownership</w:t>
      </w:r>
      <w:r w:rsidRPr="003A1F5D">
        <w:rPr>
          <w:rFonts w:ascii="Times New Roman" w:hAnsi="Times New Roman" w:cs="Times New Roman"/>
        </w:rPr>
        <w:t xml:space="preserve">, though a few are partially owned (for example some at 85%). </w:t>
      </w:r>
    </w:p>
    <w:p w14:paraId="608611FA" w14:textId="66FA78F6" w:rsidR="00B807BF" w:rsidRPr="00B807BF" w:rsidRDefault="00B807BF" w:rsidP="00B807BF">
      <w:pPr>
        <w:pStyle w:val="ListParagraph"/>
        <w:rPr>
          <w:rFonts w:ascii="Times New Roman" w:hAnsi="Times New Roman" w:cs="Times New Roman"/>
        </w:rPr>
      </w:pPr>
      <w:r w:rsidRPr="00B807BF">
        <w:rPr>
          <w:rFonts w:ascii="Times New Roman" w:hAnsi="Times New Roman" w:cs="Times New Roman"/>
        </w:rPr>
        <w:t xml:space="preserve">These subsidiaries collectively </w:t>
      </w:r>
      <w:r w:rsidR="006B2FD8" w:rsidRPr="00B807BF">
        <w:rPr>
          <w:rFonts w:ascii="Times New Roman" w:hAnsi="Times New Roman" w:cs="Times New Roman"/>
        </w:rPr>
        <w:t>conduct</w:t>
      </w:r>
      <w:r w:rsidRPr="00B807BF">
        <w:rPr>
          <w:rFonts w:ascii="Times New Roman" w:hAnsi="Times New Roman" w:cs="Times New Roman"/>
        </w:rPr>
        <w:t xml:space="preserve"> all operational activities of the company.</w:t>
      </w:r>
    </w:p>
    <w:p w14:paraId="482C6BEC" w14:textId="619BD52C" w:rsidR="00B807BF" w:rsidRPr="003A1F5D" w:rsidRDefault="00B807BF" w:rsidP="002E06E0">
      <w:pPr>
        <w:pStyle w:val="ListParagraph"/>
        <w:rPr>
          <w:rFonts w:ascii="Times New Roman" w:hAnsi="Times New Roman" w:cs="Times New Roman"/>
          <w:b/>
          <w:bCs/>
        </w:rPr>
      </w:pPr>
      <w:r w:rsidRPr="00B807BF">
        <w:rPr>
          <w:rFonts w:ascii="Times New Roman" w:hAnsi="Times New Roman" w:cs="Times New Roman"/>
          <w:b/>
          <w:bCs/>
        </w:rPr>
        <w:t>Geographic Distribution</w:t>
      </w:r>
      <w:r w:rsidR="002E06E0" w:rsidRPr="003A1F5D">
        <w:rPr>
          <w:rFonts w:ascii="Times New Roman" w:hAnsi="Times New Roman" w:cs="Times New Roman"/>
          <w:b/>
          <w:bCs/>
        </w:rPr>
        <w:t xml:space="preserve">: </w:t>
      </w:r>
      <w:r w:rsidRPr="003A1F5D">
        <w:rPr>
          <w:rFonts w:ascii="Times New Roman" w:hAnsi="Times New Roman" w:cs="Times New Roman"/>
        </w:rPr>
        <w:t xml:space="preserve">From the list of subsidiaries in </w:t>
      </w:r>
      <w:r w:rsidRPr="003A1F5D">
        <w:rPr>
          <w:rFonts w:ascii="Times New Roman" w:hAnsi="Times New Roman" w:cs="Times New Roman"/>
          <w:b/>
          <w:bCs/>
        </w:rPr>
        <w:t>Exhibit 21</w:t>
      </w:r>
      <w:r w:rsidRPr="003A1F5D">
        <w:rPr>
          <w:rFonts w:ascii="Times New Roman" w:hAnsi="Times New Roman" w:cs="Times New Roman"/>
        </w:rPr>
        <w:t>, the companies are incorporated or operate primarily in:</w:t>
      </w:r>
      <w:r w:rsidR="002E06E0" w:rsidRPr="003A1F5D">
        <w:rPr>
          <w:rFonts w:ascii="Times New Roman" w:hAnsi="Times New Roman" w:cs="Times New Roman"/>
        </w:rPr>
        <w:t xml:space="preserve"> </w:t>
      </w:r>
      <w:r w:rsidRPr="003A1F5D">
        <w:rPr>
          <w:rFonts w:ascii="Times New Roman" w:hAnsi="Times New Roman" w:cs="Times New Roman"/>
          <w:b/>
          <w:bCs/>
        </w:rPr>
        <w:t>United States</w:t>
      </w:r>
      <w:r w:rsidRPr="003A1F5D">
        <w:rPr>
          <w:rFonts w:ascii="Times New Roman" w:hAnsi="Times New Roman" w:cs="Times New Roman"/>
        </w:rPr>
        <w:t xml:space="preserve"> (majority of entities; organized in states such as Delaware, Illinois, Vermont, Pennsylvania, Texas, California, and others)</w:t>
      </w:r>
      <w:r w:rsidR="002E06E0" w:rsidRPr="003A1F5D">
        <w:rPr>
          <w:rFonts w:ascii="Times New Roman" w:hAnsi="Times New Roman" w:cs="Times New Roman"/>
        </w:rPr>
        <w:t xml:space="preserve">. </w:t>
      </w:r>
      <w:r w:rsidRPr="003A1F5D">
        <w:rPr>
          <w:rFonts w:ascii="Times New Roman" w:hAnsi="Times New Roman" w:cs="Times New Roman"/>
          <w:b/>
          <w:bCs/>
        </w:rPr>
        <w:t>Canada</w:t>
      </w:r>
      <w:r w:rsidRPr="003A1F5D">
        <w:rPr>
          <w:rFonts w:ascii="Times New Roman" w:hAnsi="Times New Roman" w:cs="Times New Roman"/>
        </w:rPr>
        <w:t xml:space="preserve"> (several subsidiaries such as </w:t>
      </w:r>
      <w:r w:rsidR="006B2FD8" w:rsidRPr="003A1F5D">
        <w:rPr>
          <w:rFonts w:ascii="Times New Roman" w:hAnsi="Times New Roman" w:cs="Times New Roman"/>
        </w:rPr>
        <w:t>Dependable</w:t>
      </w:r>
      <w:r w:rsidRPr="003A1F5D">
        <w:rPr>
          <w:rFonts w:ascii="Times New Roman" w:hAnsi="Times New Roman" w:cs="Times New Roman"/>
        </w:rPr>
        <w:t xml:space="preserve"> Life Insurance Company and Old Republic Insurance Company of Canada) </w:t>
      </w:r>
    </w:p>
    <w:p w14:paraId="222CADF9" w14:textId="4300266B" w:rsidR="00B807BF" w:rsidRPr="003A1F5D" w:rsidRDefault="00B807BF" w:rsidP="00112368">
      <w:pPr>
        <w:pStyle w:val="ListParagraph"/>
        <w:rPr>
          <w:rFonts w:ascii="Times New Roman" w:hAnsi="Times New Roman" w:cs="Times New Roman"/>
        </w:rPr>
      </w:pPr>
      <w:r w:rsidRPr="00B807BF">
        <w:rPr>
          <w:rFonts w:ascii="Times New Roman" w:hAnsi="Times New Roman" w:cs="Times New Roman"/>
        </w:rPr>
        <w:t xml:space="preserve">Overall, Old Republic’s subsidiaries conduct business across </w:t>
      </w:r>
      <w:r w:rsidRPr="00B807BF">
        <w:rPr>
          <w:rFonts w:ascii="Times New Roman" w:hAnsi="Times New Roman" w:cs="Times New Roman"/>
          <w:b/>
          <w:bCs/>
        </w:rPr>
        <w:t>the United States, Canada, and U.S. territories</w:t>
      </w:r>
      <w:r w:rsidRPr="00B807BF">
        <w:rPr>
          <w:rFonts w:ascii="Times New Roman" w:hAnsi="Times New Roman" w:cs="Times New Roman"/>
        </w:rPr>
        <w:t xml:space="preserve">, covering all </w:t>
      </w:r>
      <w:r w:rsidR="006B2FD8" w:rsidRPr="00B807BF">
        <w:rPr>
          <w:rFonts w:ascii="Times New Roman" w:hAnsi="Times New Roman" w:cs="Times New Roman"/>
        </w:rPr>
        <w:t>fifty</w:t>
      </w:r>
      <w:r w:rsidRPr="00B807BF">
        <w:rPr>
          <w:rFonts w:ascii="Times New Roman" w:hAnsi="Times New Roman" w:cs="Times New Roman"/>
        </w:rPr>
        <w:t xml:space="preserve"> states and Canadian provinces through their insurance operations. </w:t>
      </w:r>
      <w:r w:rsidRPr="003A1F5D">
        <w:rPr>
          <w:rFonts w:ascii="Times New Roman" w:hAnsi="Times New Roman" w:cs="Times New Roman"/>
          <w:b/>
          <w:bCs/>
        </w:rPr>
        <w:t>Organizational Segments</w:t>
      </w:r>
      <w:r w:rsidR="002E06E0" w:rsidRPr="003A1F5D">
        <w:rPr>
          <w:rFonts w:ascii="Times New Roman" w:hAnsi="Times New Roman" w:cs="Times New Roman"/>
          <w:b/>
          <w:bCs/>
        </w:rPr>
        <w:t xml:space="preserve">: </w:t>
      </w:r>
      <w:r w:rsidRPr="003A1F5D">
        <w:rPr>
          <w:rFonts w:ascii="Times New Roman" w:hAnsi="Times New Roman" w:cs="Times New Roman"/>
        </w:rPr>
        <w:t xml:space="preserve">The subsidiaries are grouped into several major </w:t>
      </w:r>
      <w:r w:rsidRPr="003A1F5D">
        <w:rPr>
          <w:rFonts w:ascii="Times New Roman" w:hAnsi="Times New Roman" w:cs="Times New Roman"/>
          <w:b/>
          <w:bCs/>
        </w:rPr>
        <w:t>operating groups</w:t>
      </w:r>
      <w:r w:rsidRPr="003A1F5D">
        <w:rPr>
          <w:rFonts w:ascii="Times New Roman" w:hAnsi="Times New Roman" w:cs="Times New Roman"/>
        </w:rPr>
        <w:t xml:space="preserve"> under the parent holding company:</w:t>
      </w:r>
    </w:p>
    <w:p w14:paraId="6DE57218" w14:textId="734C6464" w:rsidR="00B807BF" w:rsidRPr="003A1F5D" w:rsidRDefault="00B807BF" w:rsidP="00112368">
      <w:pPr>
        <w:pStyle w:val="ListParagraph"/>
        <w:rPr>
          <w:rFonts w:ascii="Times New Roman" w:hAnsi="Times New Roman" w:cs="Times New Roman"/>
        </w:rPr>
      </w:pPr>
      <w:r w:rsidRPr="00B807BF">
        <w:rPr>
          <w:rFonts w:ascii="Times New Roman" w:hAnsi="Times New Roman" w:cs="Times New Roman"/>
          <w:b/>
          <w:bCs/>
        </w:rPr>
        <w:t>Specialty Insurance Group (largest segment)</w:t>
      </w:r>
      <w:r w:rsidR="002E06E0" w:rsidRPr="003A1F5D">
        <w:rPr>
          <w:rFonts w:ascii="Times New Roman" w:hAnsi="Times New Roman" w:cs="Times New Roman"/>
          <w:b/>
          <w:bCs/>
        </w:rPr>
        <w:t xml:space="preserve">: </w:t>
      </w:r>
      <w:r w:rsidRPr="003A1F5D">
        <w:rPr>
          <w:rFonts w:ascii="Times New Roman" w:hAnsi="Times New Roman" w:cs="Times New Roman"/>
        </w:rPr>
        <w:t>Includes many underwriting companies such as BITCO General Insurance Corporation and Great West Casualty Company.</w:t>
      </w:r>
      <w:r w:rsidR="002E06E0" w:rsidRPr="003A1F5D">
        <w:rPr>
          <w:rFonts w:ascii="Times New Roman" w:hAnsi="Times New Roman" w:cs="Times New Roman"/>
        </w:rPr>
        <w:t xml:space="preserve"> </w:t>
      </w:r>
      <w:r w:rsidRPr="003A1F5D">
        <w:rPr>
          <w:rFonts w:ascii="Times New Roman" w:hAnsi="Times New Roman" w:cs="Times New Roman"/>
          <w:b/>
          <w:bCs/>
        </w:rPr>
        <w:t>Title Insurance Group</w:t>
      </w:r>
      <w:r w:rsidR="002E06E0" w:rsidRPr="003A1F5D">
        <w:rPr>
          <w:rFonts w:ascii="Times New Roman" w:hAnsi="Times New Roman" w:cs="Times New Roman"/>
          <w:b/>
          <w:bCs/>
        </w:rPr>
        <w:t xml:space="preserve">: </w:t>
      </w:r>
      <w:r w:rsidRPr="003A1F5D">
        <w:rPr>
          <w:rFonts w:ascii="Times New Roman" w:hAnsi="Times New Roman" w:cs="Times New Roman"/>
        </w:rPr>
        <w:t>Includes companies such as Old Republic National Title Insurance Company and related title service firms.</w:t>
      </w:r>
      <w:r w:rsidR="00112368" w:rsidRPr="003A1F5D">
        <w:rPr>
          <w:rFonts w:ascii="Times New Roman" w:hAnsi="Times New Roman" w:cs="Times New Roman"/>
        </w:rPr>
        <w:t xml:space="preserve"> </w:t>
      </w:r>
      <w:r w:rsidRPr="003A1F5D">
        <w:rPr>
          <w:rFonts w:ascii="Times New Roman" w:hAnsi="Times New Roman" w:cs="Times New Roman"/>
          <w:b/>
          <w:bCs/>
        </w:rPr>
        <w:t>Other supporting subsidiaries</w:t>
      </w:r>
      <w:r w:rsidR="002E06E0" w:rsidRPr="003A1F5D">
        <w:rPr>
          <w:rFonts w:ascii="Times New Roman" w:hAnsi="Times New Roman" w:cs="Times New Roman"/>
          <w:b/>
          <w:bCs/>
        </w:rPr>
        <w:t xml:space="preserve">: </w:t>
      </w:r>
      <w:r w:rsidRPr="003A1F5D">
        <w:rPr>
          <w:rFonts w:ascii="Times New Roman" w:hAnsi="Times New Roman" w:cs="Times New Roman"/>
        </w:rPr>
        <w:t>Risk management companies</w:t>
      </w:r>
      <w:r w:rsidR="002E06E0" w:rsidRPr="003A1F5D">
        <w:rPr>
          <w:rFonts w:ascii="Times New Roman" w:hAnsi="Times New Roman" w:cs="Times New Roman"/>
        </w:rPr>
        <w:t xml:space="preserve"> </w:t>
      </w:r>
      <w:r w:rsidRPr="003A1F5D">
        <w:rPr>
          <w:rFonts w:ascii="Times New Roman" w:hAnsi="Times New Roman" w:cs="Times New Roman"/>
        </w:rPr>
        <w:t>Agency companies</w:t>
      </w:r>
      <w:r w:rsidR="00112368" w:rsidRPr="003A1F5D">
        <w:rPr>
          <w:rFonts w:ascii="Times New Roman" w:hAnsi="Times New Roman" w:cs="Times New Roman"/>
        </w:rPr>
        <w:t xml:space="preserve">. </w:t>
      </w:r>
      <w:r w:rsidRPr="003A1F5D">
        <w:rPr>
          <w:rFonts w:ascii="Times New Roman" w:hAnsi="Times New Roman" w:cs="Times New Roman"/>
        </w:rPr>
        <w:t>Technology and service subsidiaries.</w:t>
      </w:r>
      <w:r w:rsidR="002E06E0" w:rsidRPr="003A1F5D">
        <w:rPr>
          <w:rFonts w:ascii="Times New Roman" w:hAnsi="Times New Roman" w:cs="Times New Roman"/>
        </w:rPr>
        <w:t xml:space="preserve"> </w:t>
      </w:r>
      <w:r w:rsidRPr="003A1F5D">
        <w:rPr>
          <w:rFonts w:ascii="Times New Roman" w:hAnsi="Times New Roman" w:cs="Times New Roman"/>
        </w:rPr>
        <w:t xml:space="preserve">These subsidiaries </w:t>
      </w:r>
      <w:r w:rsidR="006B2FD8" w:rsidRPr="003A1F5D">
        <w:rPr>
          <w:rFonts w:ascii="Times New Roman" w:hAnsi="Times New Roman" w:cs="Times New Roman"/>
        </w:rPr>
        <w:t>manage</w:t>
      </w:r>
      <w:r w:rsidRPr="003A1F5D">
        <w:rPr>
          <w:rFonts w:ascii="Times New Roman" w:hAnsi="Times New Roman" w:cs="Times New Roman"/>
        </w:rPr>
        <w:t xml:space="preserve"> underwriting, title services, claims management, and related insurance operations.</w:t>
      </w:r>
    </w:p>
    <w:p w14:paraId="1F26F6CD" w14:textId="2250AA17" w:rsidR="00B807BF" w:rsidRPr="003A1F5D" w:rsidRDefault="00B807BF" w:rsidP="002E06E0">
      <w:pPr>
        <w:pStyle w:val="ListParagraph"/>
        <w:rPr>
          <w:rFonts w:ascii="Times New Roman" w:hAnsi="Times New Roman" w:cs="Times New Roman"/>
          <w:b/>
          <w:bCs/>
        </w:rPr>
      </w:pPr>
      <w:r w:rsidRPr="00B807BF">
        <w:rPr>
          <w:rFonts w:ascii="Times New Roman" w:hAnsi="Times New Roman" w:cs="Times New Roman"/>
          <w:b/>
          <w:bCs/>
        </w:rPr>
        <w:t>Example Subsidiaries</w:t>
      </w:r>
      <w:r w:rsidR="002E06E0" w:rsidRPr="003A1F5D">
        <w:rPr>
          <w:rFonts w:ascii="Times New Roman" w:hAnsi="Times New Roman" w:cs="Times New Roman"/>
          <w:b/>
          <w:bCs/>
        </w:rPr>
        <w:t xml:space="preserve">: </w:t>
      </w:r>
      <w:r w:rsidRPr="003A1F5D">
        <w:rPr>
          <w:rFonts w:ascii="Times New Roman" w:hAnsi="Times New Roman" w:cs="Times New Roman"/>
        </w:rPr>
        <w:t>Examples listed in Exhibit 21 include:</w:t>
      </w:r>
    </w:p>
    <w:p w14:paraId="34D6E48D" w14:textId="77777777" w:rsidR="00B807BF" w:rsidRPr="003A1F5D" w:rsidRDefault="00B807BF" w:rsidP="002E06E0">
      <w:pPr>
        <w:pStyle w:val="ListParagraph"/>
        <w:numPr>
          <w:ilvl w:val="0"/>
          <w:numId w:val="8"/>
        </w:numPr>
        <w:rPr>
          <w:rFonts w:ascii="Times New Roman" w:hAnsi="Times New Roman" w:cs="Times New Roman"/>
        </w:rPr>
      </w:pPr>
      <w:r w:rsidRPr="003A1F5D">
        <w:rPr>
          <w:rFonts w:ascii="Times New Roman" w:hAnsi="Times New Roman" w:cs="Times New Roman"/>
        </w:rPr>
        <w:t>BITCO General Insurance Corporation</w:t>
      </w:r>
    </w:p>
    <w:p w14:paraId="330AB30A" w14:textId="77777777" w:rsidR="00B807BF" w:rsidRPr="00B807BF" w:rsidRDefault="00B807BF" w:rsidP="002E06E0">
      <w:pPr>
        <w:pStyle w:val="ListParagraph"/>
        <w:numPr>
          <w:ilvl w:val="0"/>
          <w:numId w:val="8"/>
        </w:numPr>
        <w:rPr>
          <w:rFonts w:ascii="Times New Roman" w:hAnsi="Times New Roman" w:cs="Times New Roman"/>
        </w:rPr>
      </w:pPr>
      <w:r w:rsidRPr="00B807BF">
        <w:rPr>
          <w:rFonts w:ascii="Times New Roman" w:hAnsi="Times New Roman" w:cs="Times New Roman"/>
        </w:rPr>
        <w:t>BITCO National Insurance Company</w:t>
      </w:r>
    </w:p>
    <w:p w14:paraId="3C835ADA" w14:textId="77777777" w:rsidR="00B807BF" w:rsidRPr="00B807BF" w:rsidRDefault="00B807BF" w:rsidP="002E06E0">
      <w:pPr>
        <w:pStyle w:val="ListParagraph"/>
        <w:numPr>
          <w:ilvl w:val="0"/>
          <w:numId w:val="8"/>
        </w:numPr>
        <w:rPr>
          <w:rFonts w:ascii="Times New Roman" w:hAnsi="Times New Roman" w:cs="Times New Roman"/>
        </w:rPr>
      </w:pPr>
      <w:r w:rsidRPr="00B807BF">
        <w:rPr>
          <w:rFonts w:ascii="Times New Roman" w:hAnsi="Times New Roman" w:cs="Times New Roman"/>
        </w:rPr>
        <w:t>Old Republic Insurance Company</w:t>
      </w:r>
    </w:p>
    <w:p w14:paraId="16413D55" w14:textId="77777777" w:rsidR="00B807BF" w:rsidRPr="00B807BF" w:rsidRDefault="00B807BF" w:rsidP="002E06E0">
      <w:pPr>
        <w:pStyle w:val="ListParagraph"/>
        <w:numPr>
          <w:ilvl w:val="0"/>
          <w:numId w:val="8"/>
        </w:numPr>
        <w:rPr>
          <w:rFonts w:ascii="Times New Roman" w:hAnsi="Times New Roman" w:cs="Times New Roman"/>
        </w:rPr>
      </w:pPr>
      <w:r w:rsidRPr="00B807BF">
        <w:rPr>
          <w:rFonts w:ascii="Times New Roman" w:hAnsi="Times New Roman" w:cs="Times New Roman"/>
        </w:rPr>
        <w:t>Great West Casualty Company</w:t>
      </w:r>
    </w:p>
    <w:p w14:paraId="5FDA9B14" w14:textId="77777777" w:rsidR="00B807BF" w:rsidRPr="00B807BF" w:rsidRDefault="00B807BF" w:rsidP="002E06E0">
      <w:pPr>
        <w:pStyle w:val="ListParagraph"/>
        <w:numPr>
          <w:ilvl w:val="0"/>
          <w:numId w:val="8"/>
        </w:numPr>
        <w:rPr>
          <w:rFonts w:ascii="Times New Roman" w:hAnsi="Times New Roman" w:cs="Times New Roman"/>
        </w:rPr>
      </w:pPr>
      <w:r w:rsidRPr="00B807BF">
        <w:rPr>
          <w:rFonts w:ascii="Times New Roman" w:hAnsi="Times New Roman" w:cs="Times New Roman"/>
        </w:rPr>
        <w:t>Old Republic National Title Insurance Company</w:t>
      </w:r>
    </w:p>
    <w:p w14:paraId="607C26C1" w14:textId="77777777" w:rsidR="00B807BF" w:rsidRPr="00B807BF" w:rsidRDefault="00B807BF" w:rsidP="002E06E0">
      <w:pPr>
        <w:pStyle w:val="ListParagraph"/>
        <w:numPr>
          <w:ilvl w:val="0"/>
          <w:numId w:val="8"/>
        </w:numPr>
        <w:rPr>
          <w:rFonts w:ascii="Times New Roman" w:hAnsi="Times New Roman" w:cs="Times New Roman"/>
        </w:rPr>
      </w:pPr>
      <w:r w:rsidRPr="00B807BF">
        <w:rPr>
          <w:rFonts w:ascii="Times New Roman" w:hAnsi="Times New Roman" w:cs="Times New Roman"/>
        </w:rPr>
        <w:t>Old Republic Surety Company</w:t>
      </w:r>
    </w:p>
    <w:p w14:paraId="2488FEF1" w14:textId="08E794B3" w:rsidR="002E06E0" w:rsidRPr="003A1F5D" w:rsidRDefault="00B807BF" w:rsidP="00112368">
      <w:pPr>
        <w:pStyle w:val="ListParagraph"/>
        <w:numPr>
          <w:ilvl w:val="0"/>
          <w:numId w:val="8"/>
        </w:numPr>
        <w:rPr>
          <w:rFonts w:ascii="Times New Roman" w:hAnsi="Times New Roman" w:cs="Times New Roman"/>
        </w:rPr>
      </w:pPr>
      <w:r w:rsidRPr="00B807BF">
        <w:rPr>
          <w:rFonts w:ascii="Times New Roman" w:hAnsi="Times New Roman" w:cs="Times New Roman"/>
        </w:rPr>
        <w:t xml:space="preserve">Old Republic Insurance Company of Canada </w:t>
      </w:r>
    </w:p>
    <w:p w14:paraId="731D870A" w14:textId="78565F0A" w:rsidR="00B807BF" w:rsidRPr="003A1F5D" w:rsidRDefault="00B807BF" w:rsidP="002E06E0">
      <w:pPr>
        <w:ind w:left="360" w:firstLine="360"/>
        <w:rPr>
          <w:rFonts w:ascii="Times New Roman" w:hAnsi="Times New Roman" w:cs="Times New Roman"/>
          <w:b/>
          <w:bCs/>
        </w:rPr>
      </w:pPr>
      <w:r w:rsidRPr="003A1F5D">
        <w:rPr>
          <w:rFonts w:ascii="Times New Roman" w:hAnsi="Times New Roman" w:cs="Times New Roman"/>
          <w:b/>
          <w:bCs/>
        </w:rPr>
        <w:t>Summary</w:t>
      </w:r>
    </w:p>
    <w:p w14:paraId="3369F825" w14:textId="20DAA9FA" w:rsidR="00060D64" w:rsidRPr="00E248E2" w:rsidRDefault="00B807BF" w:rsidP="00060D64">
      <w:pPr>
        <w:pStyle w:val="ListParagraph"/>
        <w:ind w:firstLine="720"/>
        <w:rPr>
          <w:rFonts w:ascii="Times New Roman" w:hAnsi="Times New Roman" w:cs="Times New Roman"/>
        </w:rPr>
      </w:pPr>
      <w:r w:rsidRPr="00B807BF">
        <w:rPr>
          <w:rFonts w:ascii="Times New Roman" w:hAnsi="Times New Roman" w:cs="Times New Roman"/>
        </w:rPr>
        <w:lastRenderedPageBreak/>
        <w:t xml:space="preserve">In summary, Old Republic International has a complex holding-company corporate structure consisting of </w:t>
      </w:r>
      <w:r w:rsidR="006B2FD8" w:rsidRPr="00E248E2">
        <w:rPr>
          <w:rFonts w:ascii="Times New Roman" w:hAnsi="Times New Roman" w:cs="Times New Roman"/>
        </w:rPr>
        <w:t>130</w:t>
      </w:r>
      <w:r w:rsidRPr="00B807BF">
        <w:rPr>
          <w:rFonts w:ascii="Times New Roman" w:hAnsi="Times New Roman" w:cs="Times New Roman"/>
        </w:rPr>
        <w:t xml:space="preserve">–140 subsidiaries, including </w:t>
      </w:r>
      <w:r w:rsidR="006B2FD8" w:rsidRPr="00E248E2">
        <w:rPr>
          <w:rFonts w:ascii="Times New Roman" w:hAnsi="Times New Roman" w:cs="Times New Roman"/>
        </w:rPr>
        <w:t>twenty-seven</w:t>
      </w:r>
      <w:r w:rsidRPr="00B807BF">
        <w:rPr>
          <w:rFonts w:ascii="Times New Roman" w:hAnsi="Times New Roman" w:cs="Times New Roman"/>
        </w:rPr>
        <w:t xml:space="preserve"> primary insurance underwriting companies. These entities operate primarily in the United States and Canada, organized into major segments such as Specialty Insurance and Title Insurance, with most subsidiaries fully owned by the parent company.</w:t>
      </w:r>
    </w:p>
    <w:p w14:paraId="13D4C3F9" w14:textId="77777777" w:rsidR="002E06E0" w:rsidRPr="003A1F5D" w:rsidRDefault="002E06E0" w:rsidP="00B807BF">
      <w:pPr>
        <w:pStyle w:val="ListParagraph"/>
        <w:rPr>
          <w:rFonts w:ascii="Times New Roman" w:hAnsi="Times New Roman" w:cs="Times New Roman"/>
        </w:rPr>
      </w:pPr>
    </w:p>
    <w:p w14:paraId="1B723EDA" w14:textId="769997D6" w:rsidR="00112368" w:rsidRPr="00112368" w:rsidRDefault="00112368" w:rsidP="00112368">
      <w:pPr>
        <w:pStyle w:val="ListParagraph"/>
        <w:numPr>
          <w:ilvl w:val="0"/>
          <w:numId w:val="2"/>
        </w:numPr>
        <w:rPr>
          <w:rFonts w:ascii="Times New Roman" w:hAnsi="Times New Roman" w:cs="Times New Roman"/>
        </w:rPr>
      </w:pPr>
      <w:r w:rsidRPr="00112368">
        <w:rPr>
          <w:rFonts w:ascii="Times New Roman" w:hAnsi="Times New Roman" w:cs="Times New Roman"/>
          <w:b/>
          <w:bCs/>
        </w:rPr>
        <w:t>Data Flow Diagram (DFD)</w:t>
      </w:r>
      <w:r w:rsidRPr="00112368">
        <w:rPr>
          <w:rFonts w:ascii="Times New Roman" w:hAnsi="Times New Roman" w:cs="Times New Roman"/>
        </w:rPr>
        <w:t xml:space="preserve"> illustrates how information moves through a system, identifying where data originates, how it is processed, and where it is stored or transmitted. For a large insurance holding company such as </w:t>
      </w:r>
      <w:r w:rsidRPr="00112368">
        <w:rPr>
          <w:rFonts w:ascii="Times New Roman" w:hAnsi="Times New Roman" w:cs="Times New Roman"/>
          <w:b/>
          <w:bCs/>
        </w:rPr>
        <w:t>Old Republic International</w:t>
      </w:r>
      <w:r w:rsidRPr="00112368">
        <w:rPr>
          <w:rFonts w:ascii="Times New Roman" w:hAnsi="Times New Roman" w:cs="Times New Roman"/>
        </w:rPr>
        <w:t>, the data flow would involve multiple subsidiaries, customers, intermediaries, and regulatory bodies.</w:t>
      </w:r>
    </w:p>
    <w:p w14:paraId="5CE06E39" w14:textId="7D00C8D0" w:rsidR="00112368" w:rsidRPr="003A1F5D" w:rsidRDefault="00112368" w:rsidP="00112368">
      <w:pPr>
        <w:pStyle w:val="ListParagraph"/>
        <w:rPr>
          <w:rFonts w:ascii="Times New Roman" w:hAnsi="Times New Roman" w:cs="Times New Roman"/>
          <w:b/>
          <w:bCs/>
        </w:rPr>
      </w:pPr>
      <w:r w:rsidRPr="00112368">
        <w:rPr>
          <w:rFonts w:ascii="Times New Roman" w:hAnsi="Times New Roman" w:cs="Times New Roman"/>
          <w:b/>
          <w:bCs/>
        </w:rPr>
        <w:t>External Data Sources</w:t>
      </w:r>
      <w:r w:rsidRPr="003A1F5D">
        <w:rPr>
          <w:rFonts w:ascii="Times New Roman" w:hAnsi="Times New Roman" w:cs="Times New Roman"/>
          <w:b/>
          <w:bCs/>
        </w:rPr>
        <w:t xml:space="preserve">: </w:t>
      </w:r>
      <w:r w:rsidRPr="003A1F5D">
        <w:rPr>
          <w:rFonts w:ascii="Times New Roman" w:hAnsi="Times New Roman" w:cs="Times New Roman"/>
        </w:rPr>
        <w:t xml:space="preserve">The data flow begins with several external entities that provide input to Old Republic’s operating subsidiaries. These include </w:t>
      </w:r>
      <w:r w:rsidRPr="003A1F5D">
        <w:rPr>
          <w:rFonts w:ascii="Times New Roman" w:hAnsi="Times New Roman" w:cs="Times New Roman"/>
          <w:b/>
          <w:bCs/>
        </w:rPr>
        <w:t>policyholders, insurance agents and brokers, financial institutions, and regulatory authorities</w:t>
      </w:r>
      <w:r w:rsidRPr="003A1F5D">
        <w:rPr>
          <w:rFonts w:ascii="Times New Roman" w:hAnsi="Times New Roman" w:cs="Times New Roman"/>
        </w:rPr>
        <w:t>. Customers submit applications for insurance policies, provide personal and financial information, and file claims. Agents and brokers transmit underwriting requests and policy documentation to the insurance subsidiaries. Financial institutions may send payment confirmations, premium financing data, or escrow information in the case of title insurance operations. Regulators receive compliance reports and financial filings while also providing regulatory requirements and reporting standards back to the company.</w:t>
      </w:r>
    </w:p>
    <w:p w14:paraId="6533BD37" w14:textId="365A187B" w:rsidR="00112368" w:rsidRPr="003A1F5D" w:rsidRDefault="00112368" w:rsidP="00112368">
      <w:pPr>
        <w:pStyle w:val="ListParagraph"/>
        <w:rPr>
          <w:rFonts w:ascii="Times New Roman" w:hAnsi="Times New Roman" w:cs="Times New Roman"/>
          <w:b/>
          <w:bCs/>
        </w:rPr>
      </w:pPr>
      <w:r w:rsidRPr="00112368">
        <w:rPr>
          <w:rFonts w:ascii="Times New Roman" w:hAnsi="Times New Roman" w:cs="Times New Roman"/>
          <w:b/>
          <w:bCs/>
        </w:rPr>
        <w:t>Data Input and Processing</w:t>
      </w:r>
      <w:r w:rsidRPr="003A1F5D">
        <w:rPr>
          <w:rFonts w:ascii="Times New Roman" w:hAnsi="Times New Roman" w:cs="Times New Roman"/>
          <w:b/>
          <w:bCs/>
        </w:rPr>
        <w:t xml:space="preserve">: </w:t>
      </w:r>
      <w:r w:rsidRPr="003A1F5D">
        <w:rPr>
          <w:rFonts w:ascii="Times New Roman" w:hAnsi="Times New Roman" w:cs="Times New Roman"/>
        </w:rPr>
        <w:t xml:space="preserve">Incoming data is received through multiple channels such as </w:t>
      </w:r>
      <w:r w:rsidRPr="003A1F5D">
        <w:rPr>
          <w:rFonts w:ascii="Times New Roman" w:hAnsi="Times New Roman" w:cs="Times New Roman"/>
          <w:b/>
          <w:bCs/>
        </w:rPr>
        <w:t>online applications, internal agency management systems, email, and enterprise portals</w:t>
      </w:r>
      <w:r w:rsidRPr="003A1F5D">
        <w:rPr>
          <w:rFonts w:ascii="Times New Roman" w:hAnsi="Times New Roman" w:cs="Times New Roman"/>
        </w:rPr>
        <w:t xml:space="preserve">. The information first enters the </w:t>
      </w:r>
      <w:r w:rsidRPr="003A1F5D">
        <w:rPr>
          <w:rFonts w:ascii="Times New Roman" w:hAnsi="Times New Roman" w:cs="Times New Roman"/>
          <w:b/>
          <w:bCs/>
        </w:rPr>
        <w:t>policy administration systems</w:t>
      </w:r>
      <w:r w:rsidRPr="003A1F5D">
        <w:rPr>
          <w:rFonts w:ascii="Times New Roman" w:hAnsi="Times New Roman" w:cs="Times New Roman"/>
        </w:rPr>
        <w:t xml:space="preserve"> maintained by Old Republic’s subsidiaries. These systems validate and categorize the data. For example, underwriting systems evaluate applicant risk profiles using demographic information, claims history, and financial data. At this stage, several internal processes occur:</w:t>
      </w:r>
    </w:p>
    <w:p w14:paraId="0CEEC9BD" w14:textId="77777777" w:rsidR="00112368" w:rsidRPr="00112368" w:rsidRDefault="00112368" w:rsidP="00112368">
      <w:pPr>
        <w:pStyle w:val="ListParagraph"/>
        <w:rPr>
          <w:rFonts w:ascii="Times New Roman" w:hAnsi="Times New Roman" w:cs="Times New Roman"/>
        </w:rPr>
      </w:pPr>
      <w:r w:rsidRPr="00112368">
        <w:rPr>
          <w:rFonts w:ascii="Times New Roman" w:hAnsi="Times New Roman" w:cs="Times New Roman"/>
          <w:b/>
          <w:bCs/>
        </w:rPr>
        <w:t>Underwriting analysis</w:t>
      </w:r>
      <w:r w:rsidRPr="00112368">
        <w:rPr>
          <w:rFonts w:ascii="Times New Roman" w:hAnsi="Times New Roman" w:cs="Times New Roman"/>
        </w:rPr>
        <w:t xml:space="preserve"> determines eligibility and risk level.</w:t>
      </w:r>
    </w:p>
    <w:p w14:paraId="3FBE1A92" w14:textId="77777777" w:rsidR="00112368" w:rsidRPr="00112368" w:rsidRDefault="00112368" w:rsidP="00112368">
      <w:pPr>
        <w:pStyle w:val="ListParagraph"/>
        <w:rPr>
          <w:rFonts w:ascii="Times New Roman" w:hAnsi="Times New Roman" w:cs="Times New Roman"/>
        </w:rPr>
      </w:pPr>
      <w:r w:rsidRPr="00112368">
        <w:rPr>
          <w:rFonts w:ascii="Times New Roman" w:hAnsi="Times New Roman" w:cs="Times New Roman"/>
          <w:b/>
          <w:bCs/>
        </w:rPr>
        <w:t>Policy issuance processing</w:t>
      </w:r>
      <w:r w:rsidRPr="00112368">
        <w:rPr>
          <w:rFonts w:ascii="Times New Roman" w:hAnsi="Times New Roman" w:cs="Times New Roman"/>
        </w:rPr>
        <w:t xml:space="preserve"> generates policy documentation and premium schedules.</w:t>
      </w:r>
    </w:p>
    <w:p w14:paraId="7B0E34BE" w14:textId="77777777" w:rsidR="00112368" w:rsidRPr="00112368" w:rsidRDefault="00112368" w:rsidP="00112368">
      <w:pPr>
        <w:pStyle w:val="ListParagraph"/>
        <w:rPr>
          <w:rFonts w:ascii="Times New Roman" w:hAnsi="Times New Roman" w:cs="Times New Roman"/>
        </w:rPr>
      </w:pPr>
      <w:r w:rsidRPr="00112368">
        <w:rPr>
          <w:rFonts w:ascii="Times New Roman" w:hAnsi="Times New Roman" w:cs="Times New Roman"/>
          <w:b/>
          <w:bCs/>
        </w:rPr>
        <w:t>Claims intake and evaluation</w:t>
      </w:r>
      <w:r w:rsidRPr="00112368">
        <w:rPr>
          <w:rFonts w:ascii="Times New Roman" w:hAnsi="Times New Roman" w:cs="Times New Roman"/>
        </w:rPr>
        <w:t xml:space="preserve"> processes incident reports and supporting documentation.</w:t>
      </w:r>
    </w:p>
    <w:p w14:paraId="62A119C2" w14:textId="4C27EE07" w:rsidR="00112368" w:rsidRPr="003A1F5D" w:rsidRDefault="00112368" w:rsidP="00112368">
      <w:pPr>
        <w:pStyle w:val="ListParagraph"/>
        <w:rPr>
          <w:rFonts w:ascii="Times New Roman" w:hAnsi="Times New Roman" w:cs="Times New Roman"/>
        </w:rPr>
      </w:pPr>
      <w:r w:rsidRPr="00112368">
        <w:rPr>
          <w:rFonts w:ascii="Times New Roman" w:hAnsi="Times New Roman" w:cs="Times New Roman"/>
        </w:rPr>
        <w:t xml:space="preserve">The processed data is then stored in centralized </w:t>
      </w:r>
      <w:r w:rsidRPr="00112368">
        <w:rPr>
          <w:rFonts w:ascii="Times New Roman" w:hAnsi="Times New Roman" w:cs="Times New Roman"/>
          <w:b/>
          <w:bCs/>
        </w:rPr>
        <w:t>enterprise databases</w:t>
      </w:r>
      <w:r w:rsidRPr="00112368">
        <w:rPr>
          <w:rFonts w:ascii="Times New Roman" w:hAnsi="Times New Roman" w:cs="Times New Roman"/>
        </w:rPr>
        <w:t xml:space="preserve"> or subsidiary-specific systems.</w:t>
      </w:r>
      <w:r w:rsidRPr="003A1F5D">
        <w:rPr>
          <w:rFonts w:ascii="Times New Roman" w:hAnsi="Times New Roman" w:cs="Times New Roman"/>
        </w:rPr>
        <w:t xml:space="preserve"> </w:t>
      </w:r>
      <w:r w:rsidRPr="003A1F5D">
        <w:rPr>
          <w:rFonts w:ascii="Times New Roman" w:hAnsi="Times New Roman" w:cs="Times New Roman"/>
          <w:b/>
          <w:bCs/>
        </w:rPr>
        <w:t xml:space="preserve">Internal Data Movement: </w:t>
      </w:r>
      <w:r w:rsidRPr="003A1F5D">
        <w:rPr>
          <w:rFonts w:ascii="Times New Roman" w:hAnsi="Times New Roman" w:cs="Times New Roman"/>
        </w:rPr>
        <w:t xml:space="preserve">Once stored, information flows between several internal departments and systems. Policy and claims data move to </w:t>
      </w:r>
      <w:r w:rsidRPr="003A1F5D">
        <w:rPr>
          <w:rFonts w:ascii="Times New Roman" w:hAnsi="Times New Roman" w:cs="Times New Roman"/>
          <w:b/>
          <w:bCs/>
        </w:rPr>
        <w:t>accounting and financial reporting systems</w:t>
      </w:r>
      <w:r w:rsidRPr="003A1F5D">
        <w:rPr>
          <w:rFonts w:ascii="Times New Roman" w:hAnsi="Times New Roman" w:cs="Times New Roman"/>
        </w:rPr>
        <w:t xml:space="preserve">, which track premiums, reserves, and claims payments. Risk management teams access the same data to evaluate exposure across the company’s portfolio. Because Old Republic operates through numerous subsidiaries, data also moves between corporate and subsidiary systems. For example, underwriting subsidiaries send operational and financial performance data to </w:t>
      </w:r>
      <w:r w:rsidRPr="003A1F5D">
        <w:rPr>
          <w:rFonts w:ascii="Times New Roman" w:hAnsi="Times New Roman" w:cs="Times New Roman"/>
          <w:b/>
          <w:bCs/>
        </w:rPr>
        <w:t>corporate management systems</w:t>
      </w:r>
      <w:r w:rsidRPr="003A1F5D">
        <w:rPr>
          <w:rFonts w:ascii="Times New Roman" w:hAnsi="Times New Roman" w:cs="Times New Roman"/>
        </w:rPr>
        <w:t xml:space="preserve"> for consolidation and strategic analysis. This information </w:t>
      </w:r>
      <w:r w:rsidR="006B2FD8" w:rsidRPr="003A1F5D">
        <w:rPr>
          <w:rFonts w:ascii="Times New Roman" w:hAnsi="Times New Roman" w:cs="Times New Roman"/>
        </w:rPr>
        <w:t>contributes</w:t>
      </w:r>
      <w:r w:rsidRPr="003A1F5D">
        <w:rPr>
          <w:rFonts w:ascii="Times New Roman" w:hAnsi="Times New Roman" w:cs="Times New Roman"/>
        </w:rPr>
        <w:t xml:space="preserve"> to financial disclosures and reporting. </w:t>
      </w:r>
      <w:r w:rsidRPr="003A1F5D">
        <w:rPr>
          <w:rFonts w:ascii="Times New Roman" w:hAnsi="Times New Roman" w:cs="Times New Roman"/>
          <w:b/>
          <w:bCs/>
        </w:rPr>
        <w:t xml:space="preserve">Data Storage and Security: </w:t>
      </w:r>
      <w:r w:rsidRPr="003A1F5D">
        <w:rPr>
          <w:rFonts w:ascii="Times New Roman" w:hAnsi="Times New Roman" w:cs="Times New Roman"/>
        </w:rPr>
        <w:t xml:space="preserve">Critical information is maintained in </w:t>
      </w:r>
      <w:r w:rsidRPr="003A1F5D">
        <w:rPr>
          <w:rFonts w:ascii="Times New Roman" w:hAnsi="Times New Roman" w:cs="Times New Roman"/>
          <w:b/>
          <w:bCs/>
        </w:rPr>
        <w:t>secure data repositories</w:t>
      </w:r>
      <w:r w:rsidRPr="003A1F5D">
        <w:rPr>
          <w:rFonts w:ascii="Times New Roman" w:hAnsi="Times New Roman" w:cs="Times New Roman"/>
        </w:rPr>
        <w:t xml:space="preserve">, including policy databases, claims management systems, and financial </w:t>
      </w:r>
      <w:r w:rsidRPr="003A1F5D">
        <w:rPr>
          <w:rFonts w:ascii="Times New Roman" w:hAnsi="Times New Roman" w:cs="Times New Roman"/>
        </w:rPr>
        <w:lastRenderedPageBreak/>
        <w:t xml:space="preserve">reporting platforms. These systems must comply with insurance industry regulations and data protection standards. Access controls, authentication mechanisms, and monitoring systems help ensure that only authorized personnel can access sensitive policyholder information. </w:t>
      </w:r>
      <w:r w:rsidRPr="003A1F5D">
        <w:rPr>
          <w:rFonts w:ascii="Times New Roman" w:hAnsi="Times New Roman" w:cs="Times New Roman"/>
          <w:b/>
          <w:bCs/>
        </w:rPr>
        <w:t xml:space="preserve">Data Outputs: </w:t>
      </w:r>
      <w:r w:rsidRPr="003A1F5D">
        <w:rPr>
          <w:rFonts w:ascii="Times New Roman" w:hAnsi="Times New Roman" w:cs="Times New Roman"/>
        </w:rPr>
        <w:t xml:space="preserve">Finally, processed information is distributed to several destinations. Policyholders receive </w:t>
      </w:r>
      <w:r w:rsidRPr="003A1F5D">
        <w:rPr>
          <w:rFonts w:ascii="Times New Roman" w:hAnsi="Times New Roman" w:cs="Times New Roman"/>
          <w:b/>
          <w:bCs/>
        </w:rPr>
        <w:t>policy documents, billing statements, and claims determinations</w:t>
      </w:r>
      <w:r w:rsidRPr="003A1F5D">
        <w:rPr>
          <w:rFonts w:ascii="Times New Roman" w:hAnsi="Times New Roman" w:cs="Times New Roman"/>
        </w:rPr>
        <w:t xml:space="preserve">. Agents and brokers receive updates on underwriting decisions and policy status. Corporate leadership receives </w:t>
      </w:r>
      <w:r w:rsidRPr="003A1F5D">
        <w:rPr>
          <w:rFonts w:ascii="Times New Roman" w:hAnsi="Times New Roman" w:cs="Times New Roman"/>
          <w:b/>
          <w:bCs/>
        </w:rPr>
        <w:t>financial performance dashboards and risk reports</w:t>
      </w:r>
      <w:r w:rsidRPr="003A1F5D">
        <w:rPr>
          <w:rFonts w:ascii="Times New Roman" w:hAnsi="Times New Roman" w:cs="Times New Roman"/>
        </w:rPr>
        <w:t xml:space="preserve"> compiled from subsidiary operations. Regulatory authorities receive compliance filings and statutory financial reports.</w:t>
      </w:r>
    </w:p>
    <w:p w14:paraId="2197E0DB" w14:textId="77777777" w:rsidR="00112368" w:rsidRPr="003A1F5D" w:rsidRDefault="00112368" w:rsidP="00112368">
      <w:pPr>
        <w:pStyle w:val="ListParagraph"/>
        <w:rPr>
          <w:rFonts w:ascii="Times New Roman" w:hAnsi="Times New Roman" w:cs="Times New Roman"/>
        </w:rPr>
      </w:pPr>
    </w:p>
    <w:p w14:paraId="59662189" w14:textId="77777777" w:rsidR="00112368" w:rsidRPr="00112368" w:rsidRDefault="00112368" w:rsidP="00112368">
      <w:pPr>
        <w:pStyle w:val="ListParagraph"/>
        <w:rPr>
          <w:rFonts w:ascii="Times New Roman" w:hAnsi="Times New Roman" w:cs="Times New Roman"/>
          <w:b/>
          <w:bCs/>
        </w:rPr>
      </w:pPr>
      <w:r w:rsidRPr="00112368">
        <w:rPr>
          <w:rFonts w:ascii="Times New Roman" w:hAnsi="Times New Roman" w:cs="Times New Roman"/>
          <w:b/>
          <w:bCs/>
        </w:rPr>
        <w:t>Summary</w:t>
      </w:r>
    </w:p>
    <w:p w14:paraId="3E215A7D" w14:textId="0DBE2688" w:rsidR="00112368" w:rsidRPr="003A1F5D" w:rsidRDefault="00112368" w:rsidP="00112368">
      <w:pPr>
        <w:pStyle w:val="ListParagraph"/>
        <w:ind w:firstLine="720"/>
        <w:rPr>
          <w:rFonts w:ascii="Times New Roman" w:hAnsi="Times New Roman" w:cs="Times New Roman"/>
        </w:rPr>
      </w:pPr>
      <w:r w:rsidRPr="00112368">
        <w:rPr>
          <w:rFonts w:ascii="Times New Roman" w:hAnsi="Times New Roman" w:cs="Times New Roman"/>
        </w:rPr>
        <w:t xml:space="preserve">Overall, the data flow within Old Republic International </w:t>
      </w:r>
      <w:r w:rsidR="006B2FD8" w:rsidRPr="00112368">
        <w:rPr>
          <w:rFonts w:ascii="Times New Roman" w:hAnsi="Times New Roman" w:cs="Times New Roman"/>
        </w:rPr>
        <w:t>begins</w:t>
      </w:r>
      <w:r w:rsidRPr="00112368">
        <w:rPr>
          <w:rFonts w:ascii="Times New Roman" w:hAnsi="Times New Roman" w:cs="Times New Roman"/>
        </w:rPr>
        <w:t xml:space="preserve"> with </w:t>
      </w:r>
      <w:r w:rsidRPr="00112368">
        <w:rPr>
          <w:rFonts w:ascii="Times New Roman" w:hAnsi="Times New Roman" w:cs="Times New Roman"/>
          <w:b/>
          <w:bCs/>
        </w:rPr>
        <w:t>external stakeholders providing information</w:t>
      </w:r>
      <w:r w:rsidRPr="00112368">
        <w:rPr>
          <w:rFonts w:ascii="Times New Roman" w:hAnsi="Times New Roman" w:cs="Times New Roman"/>
        </w:rPr>
        <w:t xml:space="preserve">, moves through </w:t>
      </w:r>
      <w:r w:rsidRPr="00112368">
        <w:rPr>
          <w:rFonts w:ascii="Times New Roman" w:hAnsi="Times New Roman" w:cs="Times New Roman"/>
          <w:b/>
          <w:bCs/>
        </w:rPr>
        <w:t>underwriting, policy administration, claims management, and financial systems</w:t>
      </w:r>
      <w:r w:rsidRPr="00112368">
        <w:rPr>
          <w:rFonts w:ascii="Times New Roman" w:hAnsi="Times New Roman" w:cs="Times New Roman"/>
        </w:rPr>
        <w:t xml:space="preserve">, is stored within </w:t>
      </w:r>
      <w:r w:rsidRPr="00112368">
        <w:rPr>
          <w:rFonts w:ascii="Times New Roman" w:hAnsi="Times New Roman" w:cs="Times New Roman"/>
          <w:b/>
          <w:bCs/>
        </w:rPr>
        <w:t>secure enterprise databases</w:t>
      </w:r>
      <w:r w:rsidRPr="00112368">
        <w:rPr>
          <w:rFonts w:ascii="Times New Roman" w:hAnsi="Times New Roman" w:cs="Times New Roman"/>
        </w:rPr>
        <w:t xml:space="preserve">, and </w:t>
      </w:r>
      <w:r w:rsidR="006B2FD8" w:rsidRPr="00112368">
        <w:rPr>
          <w:rFonts w:ascii="Times New Roman" w:hAnsi="Times New Roman" w:cs="Times New Roman"/>
        </w:rPr>
        <w:t>produces</w:t>
      </w:r>
      <w:r w:rsidRPr="00112368">
        <w:rPr>
          <w:rFonts w:ascii="Times New Roman" w:hAnsi="Times New Roman" w:cs="Times New Roman"/>
        </w:rPr>
        <w:t xml:space="preserve"> </w:t>
      </w:r>
      <w:r w:rsidRPr="00112368">
        <w:rPr>
          <w:rFonts w:ascii="Times New Roman" w:hAnsi="Times New Roman" w:cs="Times New Roman"/>
          <w:b/>
          <w:bCs/>
        </w:rPr>
        <w:t>reports, policies, and regulatory filings</w:t>
      </w:r>
      <w:r w:rsidRPr="00112368">
        <w:rPr>
          <w:rFonts w:ascii="Times New Roman" w:hAnsi="Times New Roman" w:cs="Times New Roman"/>
        </w:rPr>
        <w:t>. Because the company operates through many subsidiaries, data also flows vertically between operating companies and the corporate parent for reporting, oversight, and strategic management.</w:t>
      </w:r>
    </w:p>
    <w:p w14:paraId="28843453" w14:textId="77777777" w:rsidR="00060D64" w:rsidRPr="003A1F5D" w:rsidRDefault="00060D64" w:rsidP="00112368">
      <w:pPr>
        <w:pStyle w:val="ListParagraph"/>
        <w:ind w:firstLine="720"/>
        <w:rPr>
          <w:rFonts w:ascii="Times New Roman" w:hAnsi="Times New Roman" w:cs="Times New Roman"/>
        </w:rPr>
      </w:pPr>
    </w:p>
    <w:p w14:paraId="6A88D985" w14:textId="11167BE5" w:rsidR="00060D64" w:rsidRPr="00112368" w:rsidRDefault="00060D64" w:rsidP="00060D64">
      <w:pPr>
        <w:pStyle w:val="ListParagraph"/>
        <w:ind w:firstLine="720"/>
        <w:jc w:val="center"/>
        <w:rPr>
          <w:rFonts w:ascii="Times New Roman" w:hAnsi="Times New Roman" w:cs="Times New Roman"/>
        </w:rPr>
      </w:pPr>
      <w:r w:rsidRPr="003A1F5D">
        <w:rPr>
          <w:rFonts w:ascii="Times New Roman" w:hAnsi="Times New Roman" w:cs="Times New Roman"/>
          <w:noProof/>
        </w:rPr>
        <w:drawing>
          <wp:inline distT="0" distB="0" distL="0" distR="0" wp14:anchorId="269BB47E" wp14:editId="294E88AA">
            <wp:extent cx="4187618" cy="2571115"/>
            <wp:effectExtent l="0" t="0" r="3810" b="635"/>
            <wp:docPr id="13200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3199" name="Picture 1320031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2370" cy="2617011"/>
                    </a:xfrm>
                    <a:prstGeom prst="rect">
                      <a:avLst/>
                    </a:prstGeom>
                  </pic:spPr>
                </pic:pic>
              </a:graphicData>
            </a:graphic>
          </wp:inline>
        </w:drawing>
      </w:r>
    </w:p>
    <w:p w14:paraId="41F3B61F" w14:textId="750CDDCC" w:rsidR="00B807BF" w:rsidRPr="003A1F5D" w:rsidRDefault="00060D64" w:rsidP="00060D64">
      <w:pPr>
        <w:pStyle w:val="ListParagraph"/>
        <w:numPr>
          <w:ilvl w:val="0"/>
          <w:numId w:val="10"/>
        </w:numPr>
        <w:rPr>
          <w:rFonts w:ascii="Times New Roman" w:hAnsi="Times New Roman" w:cs="Times New Roman"/>
        </w:rPr>
      </w:pPr>
      <w:r w:rsidRPr="003A1F5D">
        <w:rPr>
          <w:rFonts w:ascii="Times New Roman" w:hAnsi="Times New Roman" w:cs="Times New Roman"/>
        </w:rPr>
        <w:t>Critical Business Process Data Flow – Old Republic International</w:t>
      </w:r>
    </w:p>
    <w:p w14:paraId="4006FAB0" w14:textId="0982D869"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Policyholder / Customer</w:t>
      </w:r>
    </w:p>
    <w:p w14:paraId="7EB82466" w14:textId="193AD7E3"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Insurance Agents and Brokers</w:t>
      </w:r>
    </w:p>
    <w:p w14:paraId="07F7FDCE" w14:textId="3EC8150F"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Policy Administration System</w:t>
      </w:r>
    </w:p>
    <w:p w14:paraId="1B545ED9" w14:textId="293725C4"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Underwriting and Risk Assessment Systems</w:t>
      </w:r>
    </w:p>
    <w:p w14:paraId="67AD60F7" w14:textId="6730BCD0"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Claims Management System</w:t>
      </w:r>
    </w:p>
    <w:p w14:paraId="7A910792" w14:textId="5D8A2A97"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Financial and Accounting Systems</w:t>
      </w:r>
    </w:p>
    <w:p w14:paraId="0FCB58B3" w14:textId="1BB97C28" w:rsidR="00060D64" w:rsidRPr="003A1F5D" w:rsidRDefault="00060D64" w:rsidP="00060D64">
      <w:pPr>
        <w:pStyle w:val="ListParagraph"/>
        <w:numPr>
          <w:ilvl w:val="1"/>
          <w:numId w:val="10"/>
        </w:numPr>
        <w:rPr>
          <w:rFonts w:ascii="Times New Roman" w:hAnsi="Times New Roman" w:cs="Times New Roman"/>
        </w:rPr>
      </w:pPr>
      <w:r w:rsidRPr="003A1F5D">
        <w:rPr>
          <w:rFonts w:ascii="Times New Roman" w:hAnsi="Times New Roman" w:cs="Times New Roman"/>
        </w:rPr>
        <w:t>Regulatory Authorities</w:t>
      </w:r>
    </w:p>
    <w:p w14:paraId="3AB026FD" w14:textId="77777777" w:rsidR="00C20293" w:rsidRPr="003A1F5D" w:rsidRDefault="00C20293" w:rsidP="00C20293">
      <w:pPr>
        <w:pStyle w:val="ListParagraph"/>
        <w:ind w:left="2520"/>
        <w:rPr>
          <w:rFonts w:ascii="Times New Roman" w:hAnsi="Times New Roman" w:cs="Times New Roman"/>
        </w:rPr>
      </w:pPr>
    </w:p>
    <w:p w14:paraId="166D8633" w14:textId="77777777" w:rsidR="00C20293" w:rsidRPr="003A1F5D" w:rsidRDefault="00C20293" w:rsidP="00C20293">
      <w:pPr>
        <w:pStyle w:val="ListParagraph"/>
        <w:ind w:left="2520"/>
        <w:rPr>
          <w:rFonts w:ascii="Times New Roman" w:hAnsi="Times New Roman" w:cs="Times New Roman"/>
        </w:rPr>
      </w:pPr>
    </w:p>
    <w:p w14:paraId="5BE864E8" w14:textId="77777777" w:rsidR="00C20293" w:rsidRPr="00C20293" w:rsidRDefault="00C20293" w:rsidP="00C20293">
      <w:pPr>
        <w:pStyle w:val="ListParagraph"/>
        <w:numPr>
          <w:ilvl w:val="0"/>
          <w:numId w:val="10"/>
        </w:numPr>
        <w:rPr>
          <w:rFonts w:ascii="Times New Roman" w:hAnsi="Times New Roman" w:cs="Times New Roman"/>
          <w:b/>
          <w:bCs/>
        </w:rPr>
      </w:pPr>
      <w:r w:rsidRPr="00C20293">
        <w:rPr>
          <w:rFonts w:ascii="Times New Roman" w:hAnsi="Times New Roman" w:cs="Times New Roman"/>
          <w:b/>
          <w:bCs/>
        </w:rPr>
        <w:t>End-to-End Data Flow Summary</w:t>
      </w:r>
    </w:p>
    <w:p w14:paraId="7D7402E7"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Customer → Agent/Broker</w:t>
      </w:r>
      <w:r w:rsidRPr="00C20293">
        <w:rPr>
          <w:rFonts w:ascii="Times New Roman" w:hAnsi="Times New Roman" w:cs="Times New Roman"/>
        </w:rPr>
        <w:br/>
        <w:t>Customer submits personal and financial information.</w:t>
      </w:r>
    </w:p>
    <w:p w14:paraId="66A043F6"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Agent/Broker → Policy Administration System</w:t>
      </w:r>
      <w:r w:rsidRPr="00C20293">
        <w:rPr>
          <w:rFonts w:ascii="Times New Roman" w:hAnsi="Times New Roman" w:cs="Times New Roman"/>
        </w:rPr>
        <w:br/>
        <w:t>Application data enters the insurer’s internal systems.</w:t>
      </w:r>
    </w:p>
    <w:p w14:paraId="2D5C31E0"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Policy System → Underwriting Systems</w:t>
      </w:r>
      <w:r w:rsidRPr="00C20293">
        <w:rPr>
          <w:rFonts w:ascii="Times New Roman" w:hAnsi="Times New Roman" w:cs="Times New Roman"/>
        </w:rPr>
        <w:br/>
        <w:t>Risk analysis and pricing decisions are generated.</w:t>
      </w:r>
    </w:p>
    <w:p w14:paraId="44F21B5E"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Underwriting → Policy Issuance</w:t>
      </w:r>
      <w:r w:rsidRPr="00C20293">
        <w:rPr>
          <w:rFonts w:ascii="Times New Roman" w:hAnsi="Times New Roman" w:cs="Times New Roman"/>
        </w:rPr>
        <w:br/>
        <w:t>Approved policies are created and stored.</w:t>
      </w:r>
    </w:p>
    <w:p w14:paraId="1710B972"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Customer → Claims System</w:t>
      </w:r>
      <w:r w:rsidRPr="00C20293">
        <w:rPr>
          <w:rFonts w:ascii="Times New Roman" w:hAnsi="Times New Roman" w:cs="Times New Roman"/>
        </w:rPr>
        <w:br/>
        <w:t>Claims information enters the network when incidents occur.</w:t>
      </w:r>
    </w:p>
    <w:p w14:paraId="77A70B26" w14:textId="77777777" w:rsidR="00C20293" w:rsidRPr="00C20293"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Claims System → Financial Systems</w:t>
      </w:r>
      <w:r w:rsidRPr="00C20293">
        <w:rPr>
          <w:rFonts w:ascii="Times New Roman" w:hAnsi="Times New Roman" w:cs="Times New Roman"/>
        </w:rPr>
        <w:br/>
        <w:t>Payments and reserves are recorded.</w:t>
      </w:r>
    </w:p>
    <w:p w14:paraId="5E63AE9C" w14:textId="77777777" w:rsidR="00C20293" w:rsidRPr="003A1F5D" w:rsidRDefault="00C20293" w:rsidP="00C20293">
      <w:pPr>
        <w:pStyle w:val="ListParagraph"/>
        <w:numPr>
          <w:ilvl w:val="0"/>
          <w:numId w:val="12"/>
        </w:numPr>
        <w:rPr>
          <w:rFonts w:ascii="Times New Roman" w:hAnsi="Times New Roman" w:cs="Times New Roman"/>
        </w:rPr>
      </w:pPr>
      <w:r w:rsidRPr="00C20293">
        <w:rPr>
          <w:rFonts w:ascii="Times New Roman" w:hAnsi="Times New Roman" w:cs="Times New Roman"/>
        </w:rPr>
        <w:t>Financial Systems → Regulators</w:t>
      </w:r>
      <w:r w:rsidRPr="00C20293">
        <w:rPr>
          <w:rFonts w:ascii="Times New Roman" w:hAnsi="Times New Roman" w:cs="Times New Roman"/>
        </w:rPr>
        <w:br/>
        <w:t>Compliance and financial reports exit the network.</w:t>
      </w:r>
    </w:p>
    <w:p w14:paraId="3CD24268" w14:textId="77777777" w:rsidR="00C20293" w:rsidRPr="003A1F5D" w:rsidRDefault="00C20293" w:rsidP="00C20293">
      <w:pPr>
        <w:pStyle w:val="ListParagraph"/>
        <w:ind w:left="1800"/>
        <w:rPr>
          <w:rFonts w:ascii="Times New Roman" w:hAnsi="Times New Roman" w:cs="Times New Roman"/>
        </w:rPr>
      </w:pPr>
    </w:p>
    <w:p w14:paraId="6BB35289" w14:textId="77777777" w:rsidR="00C20293" w:rsidRPr="00C20293" w:rsidRDefault="00C20293" w:rsidP="00C20293">
      <w:pPr>
        <w:pStyle w:val="ListParagraph"/>
        <w:numPr>
          <w:ilvl w:val="0"/>
          <w:numId w:val="2"/>
        </w:numPr>
        <w:rPr>
          <w:rFonts w:ascii="Times New Roman" w:hAnsi="Times New Roman" w:cs="Times New Roman"/>
          <w:b/>
          <w:bCs/>
        </w:rPr>
      </w:pPr>
      <w:r w:rsidRPr="00C20293">
        <w:rPr>
          <w:rFonts w:ascii="Times New Roman" w:hAnsi="Times New Roman" w:cs="Times New Roman"/>
          <w:b/>
          <w:bCs/>
        </w:rPr>
        <w:t>Information Security Risk Analysis (Old Republic International)</w:t>
      </w:r>
    </w:p>
    <w:p w14:paraId="597233A0" w14:textId="6C95D26C" w:rsidR="00C20293" w:rsidRPr="00C20293" w:rsidRDefault="00C20293" w:rsidP="00C20293">
      <w:pPr>
        <w:pStyle w:val="ListParagraph"/>
        <w:rPr>
          <w:rFonts w:ascii="Times New Roman" w:hAnsi="Times New Roman" w:cs="Times New Roman"/>
          <w:b/>
          <w:bCs/>
        </w:rPr>
      </w:pPr>
      <w:r w:rsidRPr="00C20293">
        <w:rPr>
          <w:rFonts w:ascii="Times New Roman" w:hAnsi="Times New Roman" w:cs="Times New Roman"/>
          <w:b/>
          <w:bCs/>
        </w:rPr>
        <w:t>What is Risk?</w:t>
      </w:r>
    </w:p>
    <w:p w14:paraId="0D3363A9"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 xml:space="preserve">According to NIST SP 800-30, </w:t>
      </w:r>
      <w:r w:rsidRPr="00C20293">
        <w:rPr>
          <w:rFonts w:ascii="Times New Roman" w:hAnsi="Times New Roman" w:cs="Times New Roman"/>
          <w:b/>
          <w:bCs/>
        </w:rPr>
        <w:t>risk</w:t>
      </w:r>
      <w:r w:rsidRPr="00C20293">
        <w:rPr>
          <w:rFonts w:ascii="Times New Roman" w:hAnsi="Times New Roman" w:cs="Times New Roman"/>
        </w:rPr>
        <w:t xml:space="preserve"> is the potential for harm to an organization when a </w:t>
      </w:r>
      <w:r w:rsidRPr="00C20293">
        <w:rPr>
          <w:rFonts w:ascii="Times New Roman" w:hAnsi="Times New Roman" w:cs="Times New Roman"/>
          <w:b/>
          <w:bCs/>
        </w:rPr>
        <w:t>threat exploits a vulnerability</w:t>
      </w:r>
      <w:r w:rsidRPr="00C20293">
        <w:rPr>
          <w:rFonts w:ascii="Times New Roman" w:hAnsi="Times New Roman" w:cs="Times New Roman"/>
        </w:rPr>
        <w:t>, resulting in negative impacts to confidentiality, integrity, or availability of information.</w:t>
      </w:r>
    </w:p>
    <w:p w14:paraId="0782F867"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In cybersecurity terms, risk is typically understood as the combination of:</w:t>
      </w:r>
    </w:p>
    <w:p w14:paraId="436851F2" w14:textId="3D8D40C6" w:rsidR="00C20293" w:rsidRPr="003A1F5D" w:rsidRDefault="00C20293" w:rsidP="003A1F5D">
      <w:pPr>
        <w:pStyle w:val="ListParagraph"/>
        <w:rPr>
          <w:rFonts w:ascii="Times New Roman" w:hAnsi="Times New Roman" w:cs="Times New Roman"/>
        </w:rPr>
      </w:pPr>
      <w:r w:rsidRPr="00C20293">
        <w:rPr>
          <w:rFonts w:ascii="Times New Roman" w:hAnsi="Times New Roman" w:cs="Times New Roman"/>
          <w:b/>
          <w:bCs/>
        </w:rPr>
        <w:t>Threat likelihood</w:t>
      </w:r>
      <w:r w:rsidR="003A1F5D" w:rsidRPr="003A1F5D">
        <w:rPr>
          <w:rFonts w:ascii="Times New Roman" w:hAnsi="Times New Roman" w:cs="Times New Roman"/>
          <w:b/>
          <w:bCs/>
        </w:rPr>
        <w:t xml:space="preserve"> </w:t>
      </w:r>
      <w:r w:rsidRPr="003A1F5D">
        <w:rPr>
          <w:rFonts w:ascii="Times New Roman" w:hAnsi="Times New Roman" w:cs="Times New Roman"/>
          <w:b/>
          <w:bCs/>
        </w:rPr>
        <w:t>System vulnerability</w:t>
      </w:r>
    </w:p>
    <w:p w14:paraId="0B79AC4A" w14:textId="3E13B163" w:rsidR="00C20293" w:rsidRPr="003A1F5D" w:rsidRDefault="00C20293" w:rsidP="00C20293">
      <w:pPr>
        <w:pStyle w:val="ListParagraph"/>
        <w:rPr>
          <w:rFonts w:ascii="Times New Roman" w:hAnsi="Times New Roman" w:cs="Times New Roman"/>
        </w:rPr>
      </w:pPr>
      <w:r w:rsidRPr="00C20293">
        <w:rPr>
          <w:rFonts w:ascii="Times New Roman" w:hAnsi="Times New Roman" w:cs="Times New Roman"/>
          <w:b/>
          <w:bCs/>
        </w:rPr>
        <w:t>Potential organizational impact</w:t>
      </w:r>
      <w:r w:rsidRPr="003A1F5D">
        <w:rPr>
          <w:rFonts w:ascii="Times New Roman" w:hAnsi="Times New Roman" w:cs="Times New Roman"/>
          <w:b/>
          <w:bCs/>
        </w:rPr>
        <w:t xml:space="preserve">: </w:t>
      </w:r>
      <w:r w:rsidRPr="003A1F5D">
        <w:rPr>
          <w:rFonts w:ascii="Times New Roman" w:hAnsi="Times New Roman" w:cs="Times New Roman"/>
        </w:rPr>
        <w:t xml:space="preserve">For a large insurance company like Old Republic International, risk primarily relates to the protection of </w:t>
      </w:r>
      <w:r w:rsidRPr="003A1F5D">
        <w:rPr>
          <w:rFonts w:ascii="Times New Roman" w:hAnsi="Times New Roman" w:cs="Times New Roman"/>
          <w:b/>
          <w:bCs/>
        </w:rPr>
        <w:t>customer data, financial records, and operational systems</w:t>
      </w:r>
      <w:r w:rsidRPr="003A1F5D">
        <w:rPr>
          <w:rFonts w:ascii="Times New Roman" w:hAnsi="Times New Roman" w:cs="Times New Roman"/>
        </w:rPr>
        <w:t xml:space="preserve"> that support underwriting, claims processing, and regulatory reporting.</w:t>
      </w:r>
    </w:p>
    <w:p w14:paraId="230E8250" w14:textId="59ED68C0" w:rsidR="00C20293" w:rsidRPr="003A1F5D" w:rsidRDefault="00C20293" w:rsidP="00C20293">
      <w:pPr>
        <w:pStyle w:val="ListParagraph"/>
        <w:rPr>
          <w:rFonts w:ascii="Times New Roman" w:hAnsi="Times New Roman" w:cs="Times New Roman"/>
          <w:b/>
          <w:bCs/>
        </w:rPr>
      </w:pPr>
      <w:r w:rsidRPr="00C20293">
        <w:rPr>
          <w:rFonts w:ascii="Times New Roman" w:hAnsi="Times New Roman" w:cs="Times New Roman"/>
          <w:b/>
          <w:bCs/>
        </w:rPr>
        <w:t>Example of Risk</w:t>
      </w:r>
      <w:r w:rsidRPr="003A1F5D">
        <w:rPr>
          <w:rFonts w:ascii="Times New Roman" w:hAnsi="Times New Roman" w:cs="Times New Roman"/>
          <w:b/>
          <w:bCs/>
        </w:rPr>
        <w:t xml:space="preserve">: </w:t>
      </w:r>
      <w:r w:rsidRPr="003A1F5D">
        <w:rPr>
          <w:rFonts w:ascii="Times New Roman" w:hAnsi="Times New Roman" w:cs="Times New Roman"/>
        </w:rPr>
        <w:t xml:space="preserve">One realistic risk for Old Republic International involves </w:t>
      </w:r>
      <w:r w:rsidRPr="003A1F5D">
        <w:rPr>
          <w:rFonts w:ascii="Times New Roman" w:hAnsi="Times New Roman" w:cs="Times New Roman"/>
          <w:b/>
          <w:bCs/>
        </w:rPr>
        <w:t>unauthorized access to policyholder information</w:t>
      </w:r>
      <w:r w:rsidRPr="003A1F5D">
        <w:rPr>
          <w:rFonts w:ascii="Times New Roman" w:hAnsi="Times New Roman" w:cs="Times New Roman"/>
        </w:rPr>
        <w:t xml:space="preserve"> stored in internal insurance systems.</w:t>
      </w:r>
    </w:p>
    <w:p w14:paraId="7EAA0E6D" w14:textId="77777777" w:rsidR="00C20293" w:rsidRPr="003A1F5D" w:rsidRDefault="00C20293" w:rsidP="00C20293">
      <w:pPr>
        <w:pStyle w:val="ListParagraph"/>
        <w:rPr>
          <w:rFonts w:ascii="Times New Roman" w:hAnsi="Times New Roman" w:cs="Times New Roman"/>
        </w:rPr>
      </w:pPr>
      <w:r w:rsidRPr="00C20293">
        <w:rPr>
          <w:rFonts w:ascii="Times New Roman" w:hAnsi="Times New Roman" w:cs="Times New Roman"/>
        </w:rPr>
        <w:t xml:space="preserve">For example, if attackers gain access to the company’s </w:t>
      </w:r>
      <w:r w:rsidRPr="00C20293">
        <w:rPr>
          <w:rFonts w:ascii="Times New Roman" w:hAnsi="Times New Roman" w:cs="Times New Roman"/>
          <w:b/>
          <w:bCs/>
        </w:rPr>
        <w:t>policy administration database</w:t>
      </w:r>
      <w:r w:rsidRPr="00C20293">
        <w:rPr>
          <w:rFonts w:ascii="Times New Roman" w:hAnsi="Times New Roman" w:cs="Times New Roman"/>
        </w:rPr>
        <w:t>, they could obtain sensitive information such as:</w:t>
      </w:r>
    </w:p>
    <w:p w14:paraId="025FB2B5" w14:textId="77777777" w:rsidR="003A1F5D" w:rsidRPr="00C20293" w:rsidRDefault="003A1F5D" w:rsidP="00C20293">
      <w:pPr>
        <w:pStyle w:val="ListParagraph"/>
        <w:rPr>
          <w:rFonts w:ascii="Times New Roman" w:hAnsi="Times New Roman" w:cs="Times New Roman"/>
        </w:rPr>
      </w:pPr>
    </w:p>
    <w:p w14:paraId="5CF863DB"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Social Security numbers</w:t>
      </w:r>
    </w:p>
    <w:p w14:paraId="401BB6EE"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addresses</w:t>
      </w:r>
    </w:p>
    <w:p w14:paraId="0245914C"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financial data</w:t>
      </w:r>
    </w:p>
    <w:p w14:paraId="2C0D12AF" w14:textId="77777777" w:rsidR="00C20293" w:rsidRPr="003A1F5D" w:rsidRDefault="00C20293" w:rsidP="00C20293">
      <w:pPr>
        <w:pStyle w:val="ListParagraph"/>
        <w:rPr>
          <w:rFonts w:ascii="Times New Roman" w:hAnsi="Times New Roman" w:cs="Times New Roman"/>
        </w:rPr>
      </w:pPr>
      <w:r w:rsidRPr="00C20293">
        <w:rPr>
          <w:rFonts w:ascii="Times New Roman" w:hAnsi="Times New Roman" w:cs="Times New Roman"/>
        </w:rPr>
        <w:t>insurance claim records</w:t>
      </w:r>
    </w:p>
    <w:p w14:paraId="0F4E237A" w14:textId="77777777" w:rsidR="003A1F5D" w:rsidRPr="003A1F5D" w:rsidRDefault="003A1F5D" w:rsidP="00C20293">
      <w:pPr>
        <w:pStyle w:val="ListParagraph"/>
        <w:rPr>
          <w:rFonts w:ascii="Times New Roman" w:hAnsi="Times New Roman" w:cs="Times New Roman"/>
        </w:rPr>
      </w:pPr>
    </w:p>
    <w:p w14:paraId="4A6E4A19" w14:textId="0C3D4BC2" w:rsidR="00C20293" w:rsidRPr="003A1F5D" w:rsidRDefault="00C20293" w:rsidP="003A1F5D">
      <w:pPr>
        <w:pStyle w:val="ListParagraph"/>
        <w:rPr>
          <w:rFonts w:ascii="Times New Roman" w:hAnsi="Times New Roman" w:cs="Times New Roman"/>
        </w:rPr>
      </w:pPr>
      <w:r w:rsidRPr="003A1F5D">
        <w:rPr>
          <w:rFonts w:ascii="Times New Roman" w:hAnsi="Times New Roman" w:cs="Times New Roman"/>
        </w:rPr>
        <w:lastRenderedPageBreak/>
        <w:t xml:space="preserve">The impact could include </w:t>
      </w:r>
      <w:r w:rsidRPr="003A1F5D">
        <w:rPr>
          <w:rFonts w:ascii="Times New Roman" w:hAnsi="Times New Roman" w:cs="Times New Roman"/>
          <w:b/>
          <w:bCs/>
        </w:rPr>
        <w:t>identity theft, regulatory penalties, reputational damage, and financial losses</w:t>
      </w:r>
      <w:r w:rsidRPr="003A1F5D">
        <w:rPr>
          <w:rFonts w:ascii="Times New Roman" w:hAnsi="Times New Roman" w:cs="Times New Roman"/>
        </w:rPr>
        <w:t>. Because insurance companies hold large volumes of sensitive data, they are attractive targets for cybercriminals.</w:t>
      </w:r>
      <w:r w:rsidR="003A1F5D" w:rsidRPr="003A1F5D">
        <w:rPr>
          <w:rFonts w:ascii="Times New Roman" w:hAnsi="Times New Roman" w:cs="Times New Roman"/>
        </w:rPr>
        <w:t xml:space="preserve"> </w:t>
      </w:r>
      <w:r w:rsidRPr="003A1F5D">
        <w:rPr>
          <w:rFonts w:ascii="Times New Roman" w:hAnsi="Times New Roman" w:cs="Times New Roman"/>
          <w:b/>
          <w:bCs/>
        </w:rPr>
        <w:t>What</w:t>
      </w:r>
      <w:r w:rsidR="003A1F5D" w:rsidRPr="003A1F5D">
        <w:rPr>
          <w:rFonts w:ascii="Times New Roman" w:hAnsi="Times New Roman" w:cs="Times New Roman"/>
          <w:b/>
          <w:bCs/>
        </w:rPr>
        <w:t xml:space="preserve">, </w:t>
      </w:r>
      <w:r w:rsidRPr="003A1F5D">
        <w:rPr>
          <w:rFonts w:ascii="Times New Roman" w:hAnsi="Times New Roman" w:cs="Times New Roman"/>
          <w:b/>
          <w:bCs/>
        </w:rPr>
        <w:t>is a Threat? (With Example)</w:t>
      </w:r>
    </w:p>
    <w:p w14:paraId="041D6AF7" w14:textId="68882409"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 xml:space="preserve">A </w:t>
      </w:r>
      <w:r w:rsidRPr="00C20293">
        <w:rPr>
          <w:rFonts w:ascii="Times New Roman" w:hAnsi="Times New Roman" w:cs="Times New Roman"/>
          <w:b/>
          <w:bCs/>
        </w:rPr>
        <w:t>threat</w:t>
      </w:r>
      <w:r w:rsidRPr="00C20293">
        <w:rPr>
          <w:rFonts w:ascii="Times New Roman" w:hAnsi="Times New Roman" w:cs="Times New Roman"/>
        </w:rPr>
        <w:t xml:space="preserve"> is any event or actor that has the potential to cause harm to an organization’s information systems by exploiting vulnerabilities.</w:t>
      </w:r>
    </w:p>
    <w:p w14:paraId="779D3CF3" w14:textId="77777777"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rPr>
        <w:t>Threats can come from several sources, including external attackers, internal employees, or environmental events.</w:t>
      </w:r>
    </w:p>
    <w:p w14:paraId="66383175" w14:textId="2EDDA11A" w:rsidR="00C20293" w:rsidRPr="00C20293" w:rsidRDefault="00C20293" w:rsidP="00C20293">
      <w:pPr>
        <w:pStyle w:val="ListParagraph"/>
        <w:rPr>
          <w:rFonts w:ascii="Times New Roman" w:hAnsi="Times New Roman" w:cs="Times New Roman"/>
        </w:rPr>
      </w:pPr>
      <w:r w:rsidRPr="00C20293">
        <w:rPr>
          <w:rFonts w:ascii="Times New Roman" w:hAnsi="Times New Roman" w:cs="Times New Roman"/>
          <w:b/>
          <w:bCs/>
        </w:rPr>
        <w:t>Example Threat:</w:t>
      </w:r>
      <w:r w:rsidRPr="003A1F5D">
        <w:rPr>
          <w:rFonts w:ascii="Times New Roman" w:hAnsi="Times New Roman" w:cs="Times New Roman"/>
        </w:rPr>
        <w:t xml:space="preserve"> </w:t>
      </w:r>
      <w:r w:rsidRPr="00C20293">
        <w:rPr>
          <w:rFonts w:ascii="Times New Roman" w:hAnsi="Times New Roman" w:cs="Times New Roman"/>
        </w:rPr>
        <w:t xml:space="preserve">A </w:t>
      </w:r>
      <w:r w:rsidRPr="00C20293">
        <w:rPr>
          <w:rFonts w:ascii="Times New Roman" w:hAnsi="Times New Roman" w:cs="Times New Roman"/>
          <w:b/>
          <w:bCs/>
        </w:rPr>
        <w:t>phishing attack targeting company employees</w:t>
      </w:r>
      <w:r w:rsidRPr="00C20293">
        <w:rPr>
          <w:rFonts w:ascii="Times New Roman" w:hAnsi="Times New Roman" w:cs="Times New Roman"/>
        </w:rPr>
        <w:t>. Cybercriminals may send fraudulent emails that appear to come from internal systems or trusted partners. If an employee enters their login credentials into a fake website, attackers could gain access to internal insurance systems and customer databases.</w:t>
      </w:r>
    </w:p>
    <w:p w14:paraId="48876BC6" w14:textId="61874D46" w:rsidR="00C20293" w:rsidRPr="003A1F5D" w:rsidRDefault="00C20293" w:rsidP="00C20293">
      <w:pPr>
        <w:pStyle w:val="ListParagraph"/>
        <w:rPr>
          <w:rFonts w:ascii="Times New Roman" w:hAnsi="Times New Roman" w:cs="Times New Roman"/>
        </w:rPr>
      </w:pPr>
      <w:r w:rsidRPr="00C20293">
        <w:rPr>
          <w:rFonts w:ascii="Times New Roman" w:hAnsi="Times New Roman" w:cs="Times New Roman"/>
        </w:rPr>
        <w:t>This type of threat is common in financial and insurance organizations.</w:t>
      </w:r>
    </w:p>
    <w:p w14:paraId="173F3626" w14:textId="21639F36" w:rsidR="00C20293" w:rsidRPr="003A1F5D" w:rsidRDefault="00C20293" w:rsidP="00C20293">
      <w:pPr>
        <w:pStyle w:val="ListParagraph"/>
        <w:rPr>
          <w:rFonts w:ascii="Times New Roman" w:hAnsi="Times New Roman" w:cs="Times New Roman"/>
          <w:b/>
          <w:bCs/>
        </w:rPr>
      </w:pPr>
      <w:r w:rsidRPr="00C20293">
        <w:rPr>
          <w:rFonts w:ascii="Times New Roman" w:hAnsi="Times New Roman" w:cs="Times New Roman"/>
          <w:b/>
          <w:bCs/>
        </w:rPr>
        <w:t>Example of a Vulnerability</w:t>
      </w:r>
      <w:r w:rsidRPr="003A1F5D">
        <w:rPr>
          <w:rFonts w:ascii="Times New Roman" w:hAnsi="Times New Roman" w:cs="Times New Roman"/>
          <w:b/>
          <w:bCs/>
        </w:rPr>
        <w:t xml:space="preserve">: </w:t>
      </w:r>
      <w:r w:rsidRPr="003A1F5D">
        <w:rPr>
          <w:rFonts w:ascii="Times New Roman" w:hAnsi="Times New Roman" w:cs="Times New Roman"/>
        </w:rPr>
        <w:t xml:space="preserve">A </w:t>
      </w:r>
      <w:r w:rsidRPr="003A1F5D">
        <w:rPr>
          <w:rFonts w:ascii="Times New Roman" w:hAnsi="Times New Roman" w:cs="Times New Roman"/>
          <w:b/>
          <w:bCs/>
        </w:rPr>
        <w:t>vulnerability</w:t>
      </w:r>
      <w:r w:rsidRPr="003A1F5D">
        <w:rPr>
          <w:rFonts w:ascii="Times New Roman" w:hAnsi="Times New Roman" w:cs="Times New Roman"/>
        </w:rPr>
        <w:t xml:space="preserve"> is a weakness that can be exploited by a threat. For Old Republic International, one potential vulnerability is the </w:t>
      </w:r>
      <w:r w:rsidRPr="003A1F5D">
        <w:rPr>
          <w:rFonts w:ascii="Times New Roman" w:hAnsi="Times New Roman" w:cs="Times New Roman"/>
          <w:b/>
          <w:bCs/>
        </w:rPr>
        <w:t>complex IT environment created by its many subsidiaries</w:t>
      </w:r>
      <w:r w:rsidRPr="003A1F5D">
        <w:rPr>
          <w:rFonts w:ascii="Times New Roman" w:hAnsi="Times New Roman" w:cs="Times New Roman"/>
        </w:rPr>
        <w:t xml:space="preserve">. Because the company operates through numerous insurance entities, some subsidiaries may rely on </w:t>
      </w:r>
      <w:r w:rsidRPr="003A1F5D">
        <w:rPr>
          <w:rFonts w:ascii="Times New Roman" w:hAnsi="Times New Roman" w:cs="Times New Roman"/>
          <w:b/>
          <w:bCs/>
        </w:rPr>
        <w:t>older or inconsistent IT systems</w:t>
      </w:r>
      <w:r w:rsidRPr="003A1F5D">
        <w:rPr>
          <w:rFonts w:ascii="Times New Roman" w:hAnsi="Times New Roman" w:cs="Times New Roman"/>
        </w:rPr>
        <w:t>.</w:t>
      </w:r>
    </w:p>
    <w:p w14:paraId="60C258A5" w14:textId="5DA1A3A9" w:rsidR="00C20293" w:rsidRPr="003A1F5D" w:rsidRDefault="00C20293" w:rsidP="00C20293">
      <w:pPr>
        <w:pStyle w:val="ListParagraph"/>
        <w:rPr>
          <w:rFonts w:ascii="Times New Roman" w:hAnsi="Times New Roman" w:cs="Times New Roman"/>
        </w:rPr>
      </w:pPr>
      <w:r w:rsidRPr="00C20293">
        <w:rPr>
          <w:rFonts w:ascii="Times New Roman" w:hAnsi="Times New Roman" w:cs="Times New Roman"/>
        </w:rPr>
        <w:t xml:space="preserve">Potential vulnerabilities could </w:t>
      </w:r>
      <w:r w:rsidRPr="003A1F5D">
        <w:rPr>
          <w:rFonts w:ascii="Times New Roman" w:hAnsi="Times New Roman" w:cs="Times New Roman"/>
        </w:rPr>
        <w:t xml:space="preserve">include legacy policy administration </w:t>
      </w:r>
      <w:r w:rsidR="006B2FD8" w:rsidRPr="003A1F5D">
        <w:rPr>
          <w:rFonts w:ascii="Times New Roman" w:hAnsi="Times New Roman" w:cs="Times New Roman"/>
        </w:rPr>
        <w:t>systems.</w:t>
      </w:r>
    </w:p>
    <w:p w14:paraId="5B4231E1" w14:textId="77777777" w:rsidR="003A1F5D" w:rsidRPr="003A1F5D" w:rsidRDefault="00C20293" w:rsidP="00C20293">
      <w:pPr>
        <w:pStyle w:val="ListParagraph"/>
        <w:rPr>
          <w:rFonts w:ascii="Times New Roman" w:hAnsi="Times New Roman" w:cs="Times New Roman"/>
        </w:rPr>
      </w:pPr>
      <w:r w:rsidRPr="00C20293">
        <w:rPr>
          <w:rFonts w:ascii="Times New Roman" w:hAnsi="Times New Roman" w:cs="Times New Roman"/>
        </w:rPr>
        <w:t>inconsistent security configurations across subsidiaries</w:t>
      </w:r>
      <w:r w:rsidRPr="003A1F5D">
        <w:rPr>
          <w:rFonts w:ascii="Times New Roman" w:hAnsi="Times New Roman" w:cs="Times New Roman"/>
        </w:rPr>
        <w:t xml:space="preserve"> delayed software patching or updates. These weaknesses could allow attackers to exploit system flaws or gain unauthorized access through compromised credentials.</w:t>
      </w:r>
    </w:p>
    <w:p w14:paraId="3CA987AE" w14:textId="6A5BCC06" w:rsidR="00C20293" w:rsidRPr="003A1F5D" w:rsidRDefault="00C20293" w:rsidP="003A1F5D">
      <w:pPr>
        <w:pStyle w:val="ListParagraph"/>
        <w:rPr>
          <w:rFonts w:ascii="Times New Roman" w:hAnsi="Times New Roman" w:cs="Times New Roman"/>
        </w:rPr>
      </w:pPr>
      <w:r w:rsidRPr="003A1F5D">
        <w:rPr>
          <w:rFonts w:ascii="Times New Roman" w:hAnsi="Times New Roman" w:cs="Times New Roman"/>
          <w:b/>
          <w:bCs/>
        </w:rPr>
        <w:t>Risk Assessment Approach</w:t>
      </w:r>
      <w:r w:rsidR="003A1F5D" w:rsidRPr="003A1F5D">
        <w:rPr>
          <w:rFonts w:ascii="Times New Roman" w:hAnsi="Times New Roman" w:cs="Times New Roman"/>
          <w:b/>
          <w:bCs/>
        </w:rPr>
        <w:t xml:space="preserve">: </w:t>
      </w:r>
      <w:r w:rsidRPr="003A1F5D">
        <w:rPr>
          <w:rFonts w:ascii="Times New Roman" w:hAnsi="Times New Roman" w:cs="Times New Roman"/>
        </w:rPr>
        <w:t>NIST SP 800-30 describes three primary approaches to risk assessment:</w:t>
      </w:r>
    </w:p>
    <w:p w14:paraId="4EC6EFF5" w14:textId="77777777" w:rsidR="00C20293" w:rsidRPr="00C20293" w:rsidRDefault="00C20293" w:rsidP="003A1F5D">
      <w:pPr>
        <w:pStyle w:val="ListParagraph"/>
        <w:rPr>
          <w:rFonts w:ascii="Times New Roman" w:hAnsi="Times New Roman" w:cs="Times New Roman"/>
        </w:rPr>
      </w:pPr>
      <w:r w:rsidRPr="00C20293">
        <w:rPr>
          <w:rFonts w:ascii="Times New Roman" w:hAnsi="Times New Roman" w:cs="Times New Roman"/>
          <w:b/>
          <w:bCs/>
        </w:rPr>
        <w:t>Qualitative</w:t>
      </w:r>
    </w:p>
    <w:p w14:paraId="40F06A5D" w14:textId="77777777" w:rsidR="00C20293" w:rsidRPr="00C20293" w:rsidRDefault="00C20293" w:rsidP="003A1F5D">
      <w:pPr>
        <w:pStyle w:val="ListParagraph"/>
        <w:rPr>
          <w:rFonts w:ascii="Times New Roman" w:hAnsi="Times New Roman" w:cs="Times New Roman"/>
        </w:rPr>
      </w:pPr>
      <w:r w:rsidRPr="00C20293">
        <w:rPr>
          <w:rFonts w:ascii="Times New Roman" w:hAnsi="Times New Roman" w:cs="Times New Roman"/>
          <w:b/>
          <w:bCs/>
        </w:rPr>
        <w:t>Quantitative</w:t>
      </w:r>
    </w:p>
    <w:p w14:paraId="622D3BE3" w14:textId="77777777" w:rsidR="00C20293" w:rsidRPr="00C20293" w:rsidRDefault="00C20293" w:rsidP="003A1F5D">
      <w:pPr>
        <w:pStyle w:val="ListParagraph"/>
        <w:rPr>
          <w:rFonts w:ascii="Times New Roman" w:hAnsi="Times New Roman" w:cs="Times New Roman"/>
        </w:rPr>
      </w:pPr>
      <w:r w:rsidRPr="00C20293">
        <w:rPr>
          <w:rFonts w:ascii="Times New Roman" w:hAnsi="Times New Roman" w:cs="Times New Roman"/>
          <w:b/>
          <w:bCs/>
        </w:rPr>
        <w:t>Semi-quantitative</w:t>
      </w:r>
    </w:p>
    <w:p w14:paraId="72D73075" w14:textId="1CB9373E" w:rsidR="00C20293" w:rsidRPr="003A1F5D" w:rsidRDefault="00C20293" w:rsidP="003A1F5D">
      <w:pPr>
        <w:pStyle w:val="ListParagraph"/>
        <w:rPr>
          <w:rFonts w:ascii="Times New Roman" w:hAnsi="Times New Roman" w:cs="Times New Roman"/>
        </w:rPr>
      </w:pPr>
      <w:r w:rsidRPr="00C20293">
        <w:rPr>
          <w:rFonts w:ascii="Times New Roman" w:hAnsi="Times New Roman" w:cs="Times New Roman"/>
        </w:rPr>
        <w:t xml:space="preserve">If conducting a risk assessment for Old Republic International, the </w:t>
      </w:r>
      <w:r w:rsidRPr="00C20293">
        <w:rPr>
          <w:rFonts w:ascii="Times New Roman" w:hAnsi="Times New Roman" w:cs="Times New Roman"/>
          <w:b/>
          <w:bCs/>
        </w:rPr>
        <w:t>semi-quantitative approach</w:t>
      </w:r>
      <w:r w:rsidRPr="00C20293">
        <w:rPr>
          <w:rFonts w:ascii="Times New Roman" w:hAnsi="Times New Roman" w:cs="Times New Roman"/>
        </w:rPr>
        <w:t xml:space="preserve"> would </w:t>
      </w:r>
      <w:r w:rsidR="006B2FD8" w:rsidRPr="00C20293">
        <w:rPr>
          <w:rFonts w:ascii="Times New Roman" w:hAnsi="Times New Roman" w:cs="Times New Roman"/>
        </w:rPr>
        <w:t>be</w:t>
      </w:r>
      <w:r w:rsidRPr="00C20293">
        <w:rPr>
          <w:rFonts w:ascii="Times New Roman" w:hAnsi="Times New Roman" w:cs="Times New Roman"/>
        </w:rPr>
        <w:t xml:space="preserve"> the most effective.</w:t>
      </w:r>
      <w:r w:rsidR="006B2FD8">
        <w:rPr>
          <w:rFonts w:ascii="Times New Roman" w:hAnsi="Times New Roman" w:cs="Times New Roman"/>
        </w:rPr>
        <w:t xml:space="preserve"> </w:t>
      </w:r>
      <w:r w:rsidRPr="003A1F5D">
        <w:rPr>
          <w:rFonts w:ascii="Times New Roman" w:hAnsi="Times New Roman" w:cs="Times New Roman"/>
          <w:b/>
          <w:bCs/>
        </w:rPr>
        <w:t>Why</w:t>
      </w:r>
      <w:r w:rsidR="006B2FD8">
        <w:rPr>
          <w:rFonts w:ascii="Times New Roman" w:hAnsi="Times New Roman" w:cs="Times New Roman"/>
          <w:b/>
          <w:bCs/>
        </w:rPr>
        <w:t>,</w:t>
      </w:r>
      <w:r w:rsidRPr="003A1F5D">
        <w:rPr>
          <w:rFonts w:ascii="Times New Roman" w:hAnsi="Times New Roman" w:cs="Times New Roman"/>
          <w:b/>
          <w:bCs/>
        </w:rPr>
        <w:t xml:space="preserve"> Semi-Quantitative?</w:t>
      </w:r>
    </w:p>
    <w:p w14:paraId="446AEB38" w14:textId="77777777" w:rsidR="00C20293" w:rsidRPr="00C20293" w:rsidRDefault="00C20293" w:rsidP="003A1F5D">
      <w:pPr>
        <w:pStyle w:val="ListParagraph"/>
        <w:rPr>
          <w:rFonts w:ascii="Times New Roman" w:hAnsi="Times New Roman" w:cs="Times New Roman"/>
        </w:rPr>
      </w:pPr>
      <w:r w:rsidRPr="00C20293">
        <w:rPr>
          <w:rFonts w:ascii="Times New Roman" w:hAnsi="Times New Roman" w:cs="Times New Roman"/>
        </w:rPr>
        <w:t xml:space="preserve">The company operates a </w:t>
      </w:r>
      <w:r w:rsidRPr="00C20293">
        <w:rPr>
          <w:rFonts w:ascii="Times New Roman" w:hAnsi="Times New Roman" w:cs="Times New Roman"/>
          <w:b/>
          <w:bCs/>
        </w:rPr>
        <w:t>large and complex insurance enterprise</w:t>
      </w:r>
      <w:r w:rsidRPr="00C20293">
        <w:rPr>
          <w:rFonts w:ascii="Times New Roman" w:hAnsi="Times New Roman" w:cs="Times New Roman"/>
        </w:rPr>
        <w:t xml:space="preserve"> with many subsidiaries.</w:t>
      </w:r>
    </w:p>
    <w:p w14:paraId="15FADF8B" w14:textId="339FEB98" w:rsidR="00C20293" w:rsidRPr="003A1F5D" w:rsidRDefault="00C20293" w:rsidP="003A1F5D">
      <w:pPr>
        <w:pStyle w:val="ListParagraph"/>
        <w:rPr>
          <w:rFonts w:ascii="Times New Roman" w:hAnsi="Times New Roman" w:cs="Times New Roman"/>
        </w:rPr>
      </w:pPr>
      <w:r w:rsidRPr="00C20293">
        <w:rPr>
          <w:rFonts w:ascii="Times New Roman" w:hAnsi="Times New Roman" w:cs="Times New Roman"/>
        </w:rPr>
        <w:t xml:space="preserve">It must evaluate risk across </w:t>
      </w:r>
      <w:r w:rsidRPr="00C20293">
        <w:rPr>
          <w:rFonts w:ascii="Times New Roman" w:hAnsi="Times New Roman" w:cs="Times New Roman"/>
          <w:b/>
          <w:bCs/>
        </w:rPr>
        <w:t>multiple systems and business units</w:t>
      </w:r>
      <w:r w:rsidRPr="00C20293">
        <w:rPr>
          <w:rFonts w:ascii="Times New Roman" w:hAnsi="Times New Roman" w:cs="Times New Roman"/>
        </w:rPr>
        <w:t>.</w:t>
      </w:r>
      <w:r w:rsidR="003A1F5D" w:rsidRPr="003A1F5D">
        <w:rPr>
          <w:rFonts w:ascii="Times New Roman" w:hAnsi="Times New Roman" w:cs="Times New Roman"/>
        </w:rPr>
        <w:t xml:space="preserve"> </w:t>
      </w:r>
      <w:r w:rsidRPr="003A1F5D">
        <w:rPr>
          <w:rFonts w:ascii="Times New Roman" w:hAnsi="Times New Roman" w:cs="Times New Roman"/>
        </w:rPr>
        <w:t>A purely qualitative approach may not provide enough structure for prioritizing risks.</w:t>
      </w:r>
    </w:p>
    <w:p w14:paraId="74308906" w14:textId="259ED66D" w:rsidR="00C20293" w:rsidRPr="003A1F5D" w:rsidRDefault="00C20293" w:rsidP="003A1F5D">
      <w:pPr>
        <w:pStyle w:val="ListParagraph"/>
        <w:rPr>
          <w:rFonts w:ascii="Times New Roman" w:hAnsi="Times New Roman" w:cs="Times New Roman"/>
        </w:rPr>
      </w:pPr>
      <w:r w:rsidRPr="00C20293">
        <w:rPr>
          <w:rFonts w:ascii="Times New Roman" w:hAnsi="Times New Roman" w:cs="Times New Roman"/>
        </w:rPr>
        <w:t xml:space="preserve">A fully quantitative approach requires precise </w:t>
      </w:r>
      <w:r w:rsidR="006B2FD8" w:rsidRPr="00C20293">
        <w:rPr>
          <w:rFonts w:ascii="Times New Roman" w:hAnsi="Times New Roman" w:cs="Times New Roman"/>
        </w:rPr>
        <w:t>monetary loss</w:t>
      </w:r>
      <w:r w:rsidRPr="00C20293">
        <w:rPr>
          <w:rFonts w:ascii="Times New Roman" w:hAnsi="Times New Roman" w:cs="Times New Roman"/>
        </w:rPr>
        <w:t xml:space="preserve"> data that may not always be available.</w:t>
      </w:r>
      <w:r w:rsidR="003A1F5D" w:rsidRPr="003A1F5D">
        <w:rPr>
          <w:rFonts w:ascii="Times New Roman" w:hAnsi="Times New Roman" w:cs="Times New Roman"/>
        </w:rPr>
        <w:t xml:space="preserve"> </w:t>
      </w:r>
      <w:r w:rsidRPr="003A1F5D">
        <w:rPr>
          <w:rFonts w:ascii="Times New Roman" w:hAnsi="Times New Roman" w:cs="Times New Roman"/>
        </w:rPr>
        <w:t xml:space="preserve">A semi-quantitative assessment allows the organization to </w:t>
      </w:r>
      <w:r w:rsidRPr="003A1F5D">
        <w:rPr>
          <w:rFonts w:ascii="Times New Roman" w:hAnsi="Times New Roman" w:cs="Times New Roman"/>
          <w:b/>
          <w:bCs/>
        </w:rPr>
        <w:t>assign numerical scores to likelihood and impact</w:t>
      </w:r>
      <w:r w:rsidRPr="003A1F5D">
        <w:rPr>
          <w:rFonts w:ascii="Times New Roman" w:hAnsi="Times New Roman" w:cs="Times New Roman"/>
        </w:rPr>
        <w:t>, helping leadership prioritize</w:t>
      </w:r>
      <w:r w:rsidR="003A1F5D" w:rsidRPr="003A1F5D">
        <w:rPr>
          <w:rFonts w:ascii="Times New Roman" w:hAnsi="Times New Roman" w:cs="Times New Roman"/>
        </w:rPr>
        <w:t xml:space="preserve"> </w:t>
      </w:r>
      <w:r w:rsidRPr="003A1F5D">
        <w:rPr>
          <w:rFonts w:ascii="Times New Roman" w:hAnsi="Times New Roman" w:cs="Times New Roman"/>
        </w:rPr>
        <w:t>cybersecurity investments while still maintaining flexibility in the analysis.</w:t>
      </w:r>
      <w:r w:rsidR="003A1F5D" w:rsidRPr="003A1F5D">
        <w:rPr>
          <w:rFonts w:ascii="Times New Roman" w:hAnsi="Times New Roman" w:cs="Times New Roman"/>
        </w:rPr>
        <w:t xml:space="preserve"> </w:t>
      </w:r>
      <w:r w:rsidRPr="003A1F5D">
        <w:rPr>
          <w:rFonts w:ascii="Times New Roman" w:hAnsi="Times New Roman" w:cs="Times New Roman"/>
          <w:b/>
          <w:bCs/>
        </w:rPr>
        <w:t>Reference</w:t>
      </w:r>
    </w:p>
    <w:p w14:paraId="05059941" w14:textId="77777777" w:rsidR="00C20293" w:rsidRDefault="00C20293" w:rsidP="003A1F5D">
      <w:pPr>
        <w:pStyle w:val="ListParagraph"/>
        <w:rPr>
          <w:rFonts w:ascii="Times New Roman" w:hAnsi="Times New Roman" w:cs="Times New Roman"/>
        </w:rPr>
      </w:pPr>
      <w:r w:rsidRPr="00C20293">
        <w:rPr>
          <w:rFonts w:ascii="Times New Roman" w:hAnsi="Times New Roman" w:cs="Times New Roman"/>
        </w:rPr>
        <w:t xml:space="preserve">National Institute of Standards and Technology. </w:t>
      </w:r>
      <w:r w:rsidRPr="00C20293">
        <w:rPr>
          <w:rFonts w:ascii="Times New Roman" w:hAnsi="Times New Roman" w:cs="Times New Roman"/>
          <w:i/>
          <w:iCs/>
        </w:rPr>
        <w:t>Guide for Conducting Risk Assessments (NIST Special Publication 800-30)</w:t>
      </w:r>
      <w:r w:rsidRPr="00C20293">
        <w:rPr>
          <w:rFonts w:ascii="Times New Roman" w:hAnsi="Times New Roman" w:cs="Times New Roman"/>
        </w:rPr>
        <w:t>. U.S. Department of Commerce.</w:t>
      </w:r>
    </w:p>
    <w:p w14:paraId="3BF3DD6C" w14:textId="77777777" w:rsidR="003A1F5D" w:rsidRDefault="003A1F5D" w:rsidP="003A1F5D">
      <w:pPr>
        <w:pStyle w:val="ListParagraph"/>
        <w:rPr>
          <w:rFonts w:ascii="Times New Roman" w:hAnsi="Times New Roman" w:cs="Times New Roman"/>
        </w:rPr>
      </w:pPr>
    </w:p>
    <w:p w14:paraId="13783DB0" w14:textId="77777777" w:rsidR="006B2FD8" w:rsidRDefault="006B2FD8" w:rsidP="003A1F5D">
      <w:pPr>
        <w:pStyle w:val="ListParagraph"/>
        <w:rPr>
          <w:rFonts w:ascii="Times New Roman" w:hAnsi="Times New Roman" w:cs="Times New Roman"/>
        </w:rPr>
      </w:pPr>
    </w:p>
    <w:p w14:paraId="58718A95" w14:textId="77777777" w:rsidR="006B2FD8" w:rsidRDefault="006B2FD8" w:rsidP="003A1F5D">
      <w:pPr>
        <w:pStyle w:val="ListParagraph"/>
        <w:rPr>
          <w:rFonts w:ascii="Times New Roman" w:hAnsi="Times New Roman" w:cs="Times New Roman"/>
        </w:rPr>
      </w:pPr>
    </w:p>
    <w:p w14:paraId="69F68B88" w14:textId="77777777" w:rsidR="006B2FD8" w:rsidRDefault="006B2FD8" w:rsidP="003A1F5D">
      <w:pPr>
        <w:pStyle w:val="ListParagraph"/>
        <w:rPr>
          <w:rFonts w:ascii="Times New Roman" w:hAnsi="Times New Roman" w:cs="Times New Roman"/>
        </w:rPr>
      </w:pPr>
    </w:p>
    <w:p w14:paraId="52DA6083" w14:textId="77777777" w:rsidR="006B2FD8" w:rsidRDefault="006B2FD8" w:rsidP="003A1F5D">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885"/>
        <w:gridCol w:w="2906"/>
        <w:gridCol w:w="2839"/>
      </w:tblGrid>
      <w:tr w:rsidR="003A1F5D" w14:paraId="155FB1E9" w14:textId="77777777" w:rsidTr="003A1F5D">
        <w:tc>
          <w:tcPr>
            <w:tcW w:w="3116" w:type="dxa"/>
          </w:tcPr>
          <w:p w14:paraId="7BBB3339" w14:textId="4B9C397C" w:rsidR="003A1F5D" w:rsidRDefault="003A1F5D" w:rsidP="003A1F5D">
            <w:pPr>
              <w:pStyle w:val="ListParagraph"/>
              <w:ind w:left="0"/>
              <w:rPr>
                <w:rFonts w:ascii="Times New Roman" w:hAnsi="Times New Roman" w:cs="Times New Roman"/>
              </w:rPr>
            </w:pPr>
            <w:r>
              <w:rPr>
                <w:rFonts w:ascii="Times New Roman" w:hAnsi="Times New Roman" w:cs="Times New Roman"/>
              </w:rPr>
              <w:t>DATE</w:t>
            </w:r>
          </w:p>
        </w:tc>
        <w:tc>
          <w:tcPr>
            <w:tcW w:w="3117" w:type="dxa"/>
          </w:tcPr>
          <w:p w14:paraId="57A8FFDA" w14:textId="2099D3C1" w:rsidR="003A1F5D" w:rsidRDefault="003A1F5D" w:rsidP="003A1F5D">
            <w:pPr>
              <w:pStyle w:val="ListParagraph"/>
              <w:ind w:left="0"/>
              <w:rPr>
                <w:rFonts w:ascii="Times New Roman" w:hAnsi="Times New Roman" w:cs="Times New Roman"/>
              </w:rPr>
            </w:pPr>
            <w:r>
              <w:rPr>
                <w:rFonts w:ascii="Times New Roman" w:hAnsi="Times New Roman" w:cs="Times New Roman"/>
              </w:rPr>
              <w:t>ACTIVITY</w:t>
            </w:r>
          </w:p>
        </w:tc>
        <w:tc>
          <w:tcPr>
            <w:tcW w:w="3117" w:type="dxa"/>
          </w:tcPr>
          <w:p w14:paraId="096C28A3" w14:textId="2B3EB02A" w:rsidR="003A1F5D" w:rsidRDefault="003A1F5D" w:rsidP="003A1F5D">
            <w:pPr>
              <w:pStyle w:val="ListParagraph"/>
              <w:ind w:left="0"/>
              <w:rPr>
                <w:rFonts w:ascii="Times New Roman" w:hAnsi="Times New Roman" w:cs="Times New Roman"/>
              </w:rPr>
            </w:pPr>
            <w:r>
              <w:rPr>
                <w:rFonts w:ascii="Times New Roman" w:hAnsi="Times New Roman" w:cs="Times New Roman"/>
              </w:rPr>
              <w:t>TIME</w:t>
            </w:r>
          </w:p>
        </w:tc>
      </w:tr>
      <w:tr w:rsidR="003A1F5D" w14:paraId="233619BD" w14:textId="77777777" w:rsidTr="003A1F5D">
        <w:tc>
          <w:tcPr>
            <w:tcW w:w="3116" w:type="dxa"/>
          </w:tcPr>
          <w:p w14:paraId="2E9663FE" w14:textId="53739C07" w:rsidR="003A1F5D" w:rsidRDefault="006B2FD8" w:rsidP="003A1F5D">
            <w:pPr>
              <w:pStyle w:val="ListParagraph"/>
              <w:ind w:left="0"/>
              <w:rPr>
                <w:rFonts w:ascii="Times New Roman" w:hAnsi="Times New Roman" w:cs="Times New Roman"/>
              </w:rPr>
            </w:pPr>
            <w:r>
              <w:rPr>
                <w:rFonts w:ascii="Times New Roman" w:hAnsi="Times New Roman" w:cs="Times New Roman"/>
              </w:rPr>
              <w:t>3/09/2026</w:t>
            </w:r>
          </w:p>
        </w:tc>
        <w:tc>
          <w:tcPr>
            <w:tcW w:w="3117" w:type="dxa"/>
          </w:tcPr>
          <w:p w14:paraId="5A86DB91" w14:textId="57C0149B" w:rsidR="003A1F5D" w:rsidRDefault="006B2FD8" w:rsidP="003A1F5D">
            <w:pPr>
              <w:pStyle w:val="ListParagraph"/>
              <w:ind w:left="0"/>
              <w:rPr>
                <w:rFonts w:ascii="Times New Roman" w:hAnsi="Times New Roman" w:cs="Times New Roman"/>
              </w:rPr>
            </w:pPr>
            <w:r>
              <w:rPr>
                <w:rFonts w:ascii="Times New Roman" w:hAnsi="Times New Roman" w:cs="Times New Roman"/>
              </w:rPr>
              <w:t>Syllabus Quiz</w:t>
            </w:r>
          </w:p>
        </w:tc>
        <w:tc>
          <w:tcPr>
            <w:tcW w:w="3117" w:type="dxa"/>
          </w:tcPr>
          <w:p w14:paraId="02A230C8" w14:textId="4C524557" w:rsidR="003A1F5D" w:rsidRDefault="006B2FD8" w:rsidP="003A1F5D">
            <w:pPr>
              <w:pStyle w:val="ListParagraph"/>
              <w:ind w:left="0"/>
              <w:rPr>
                <w:rFonts w:ascii="Times New Roman" w:hAnsi="Times New Roman" w:cs="Times New Roman"/>
              </w:rPr>
            </w:pPr>
            <w:r>
              <w:rPr>
                <w:rFonts w:ascii="Times New Roman" w:hAnsi="Times New Roman" w:cs="Times New Roman"/>
              </w:rPr>
              <w:t>0.25</w:t>
            </w:r>
          </w:p>
        </w:tc>
      </w:tr>
      <w:tr w:rsidR="006B2FD8" w14:paraId="39169980" w14:textId="77777777" w:rsidTr="003A1F5D">
        <w:tc>
          <w:tcPr>
            <w:tcW w:w="3116" w:type="dxa"/>
          </w:tcPr>
          <w:p w14:paraId="77BC59F4" w14:textId="0A32DBEA" w:rsidR="006B2FD8" w:rsidRDefault="006B2FD8" w:rsidP="003A1F5D">
            <w:pPr>
              <w:pStyle w:val="ListParagraph"/>
              <w:ind w:left="0"/>
              <w:rPr>
                <w:rFonts w:ascii="Times New Roman" w:hAnsi="Times New Roman" w:cs="Times New Roman"/>
              </w:rPr>
            </w:pPr>
            <w:r>
              <w:rPr>
                <w:rFonts w:ascii="Times New Roman" w:hAnsi="Times New Roman" w:cs="Times New Roman"/>
              </w:rPr>
              <w:t>3/09/2026</w:t>
            </w:r>
          </w:p>
        </w:tc>
        <w:tc>
          <w:tcPr>
            <w:tcW w:w="3117" w:type="dxa"/>
          </w:tcPr>
          <w:p w14:paraId="0FD3DAAF" w14:textId="7A7D19F5" w:rsidR="006B2FD8" w:rsidRDefault="006B2FD8" w:rsidP="003A1F5D">
            <w:pPr>
              <w:pStyle w:val="ListParagraph"/>
              <w:ind w:left="0"/>
              <w:rPr>
                <w:rFonts w:ascii="Times New Roman" w:hAnsi="Times New Roman" w:cs="Times New Roman"/>
              </w:rPr>
            </w:pPr>
            <w:r>
              <w:rPr>
                <w:rFonts w:ascii="Times New Roman" w:hAnsi="Times New Roman" w:cs="Times New Roman"/>
              </w:rPr>
              <w:t>Watch Videos</w:t>
            </w:r>
          </w:p>
        </w:tc>
        <w:tc>
          <w:tcPr>
            <w:tcW w:w="3117" w:type="dxa"/>
          </w:tcPr>
          <w:p w14:paraId="4D79148F" w14:textId="72E5889B" w:rsidR="006B2FD8" w:rsidRDefault="006B2FD8" w:rsidP="003A1F5D">
            <w:pPr>
              <w:pStyle w:val="ListParagraph"/>
              <w:ind w:left="0"/>
              <w:rPr>
                <w:rFonts w:ascii="Times New Roman" w:hAnsi="Times New Roman" w:cs="Times New Roman"/>
              </w:rPr>
            </w:pPr>
            <w:r>
              <w:rPr>
                <w:rFonts w:ascii="Times New Roman" w:hAnsi="Times New Roman" w:cs="Times New Roman"/>
              </w:rPr>
              <w:t>1.00</w:t>
            </w:r>
          </w:p>
        </w:tc>
      </w:tr>
      <w:tr w:rsidR="006B2FD8" w14:paraId="378291C1" w14:textId="77777777" w:rsidTr="003A1F5D">
        <w:tc>
          <w:tcPr>
            <w:tcW w:w="3116" w:type="dxa"/>
          </w:tcPr>
          <w:p w14:paraId="695DBE1A" w14:textId="7EB0FF26" w:rsidR="006B2FD8" w:rsidRDefault="006B2FD8" w:rsidP="003A1F5D">
            <w:pPr>
              <w:pStyle w:val="ListParagraph"/>
              <w:ind w:left="0"/>
              <w:rPr>
                <w:rFonts w:ascii="Times New Roman" w:hAnsi="Times New Roman" w:cs="Times New Roman"/>
              </w:rPr>
            </w:pPr>
            <w:r>
              <w:rPr>
                <w:rFonts w:ascii="Times New Roman" w:hAnsi="Times New Roman" w:cs="Times New Roman"/>
              </w:rPr>
              <w:t>3/10/2026</w:t>
            </w:r>
          </w:p>
        </w:tc>
        <w:tc>
          <w:tcPr>
            <w:tcW w:w="3117" w:type="dxa"/>
          </w:tcPr>
          <w:p w14:paraId="4C52CF53" w14:textId="13B3DE0D" w:rsidR="006B2FD8" w:rsidRDefault="006B2FD8" w:rsidP="003A1F5D">
            <w:pPr>
              <w:pStyle w:val="ListParagraph"/>
              <w:ind w:left="0"/>
              <w:rPr>
                <w:rFonts w:ascii="Times New Roman" w:hAnsi="Times New Roman" w:cs="Times New Roman"/>
              </w:rPr>
            </w:pPr>
            <w:r>
              <w:rPr>
                <w:rFonts w:ascii="Times New Roman" w:hAnsi="Times New Roman" w:cs="Times New Roman"/>
              </w:rPr>
              <w:t>Readings</w:t>
            </w:r>
          </w:p>
        </w:tc>
        <w:tc>
          <w:tcPr>
            <w:tcW w:w="3117" w:type="dxa"/>
          </w:tcPr>
          <w:p w14:paraId="1FE88D54" w14:textId="1CA51CF9" w:rsidR="006B2FD8" w:rsidRDefault="006B2FD8" w:rsidP="003A1F5D">
            <w:pPr>
              <w:pStyle w:val="ListParagraph"/>
              <w:ind w:left="0"/>
              <w:rPr>
                <w:rFonts w:ascii="Times New Roman" w:hAnsi="Times New Roman" w:cs="Times New Roman"/>
              </w:rPr>
            </w:pPr>
            <w:r>
              <w:rPr>
                <w:rFonts w:ascii="Times New Roman" w:hAnsi="Times New Roman" w:cs="Times New Roman"/>
              </w:rPr>
              <w:t>2.50</w:t>
            </w:r>
          </w:p>
        </w:tc>
      </w:tr>
      <w:tr w:rsidR="006B2FD8" w14:paraId="4E8E5EEE" w14:textId="77777777" w:rsidTr="003A1F5D">
        <w:tc>
          <w:tcPr>
            <w:tcW w:w="3116" w:type="dxa"/>
          </w:tcPr>
          <w:p w14:paraId="2887CE48" w14:textId="12C9E837" w:rsidR="006B2FD8" w:rsidRDefault="006B2FD8" w:rsidP="003A1F5D">
            <w:pPr>
              <w:pStyle w:val="ListParagraph"/>
              <w:ind w:left="0"/>
              <w:rPr>
                <w:rFonts w:ascii="Times New Roman" w:hAnsi="Times New Roman" w:cs="Times New Roman"/>
              </w:rPr>
            </w:pPr>
            <w:r>
              <w:rPr>
                <w:rFonts w:ascii="Times New Roman" w:hAnsi="Times New Roman" w:cs="Times New Roman"/>
              </w:rPr>
              <w:t>3/13/2026</w:t>
            </w:r>
          </w:p>
        </w:tc>
        <w:tc>
          <w:tcPr>
            <w:tcW w:w="3117" w:type="dxa"/>
          </w:tcPr>
          <w:p w14:paraId="7D017340" w14:textId="59F3DEC0" w:rsidR="006B2FD8" w:rsidRDefault="006B2FD8" w:rsidP="003A1F5D">
            <w:pPr>
              <w:pStyle w:val="ListParagraph"/>
              <w:ind w:left="0"/>
              <w:rPr>
                <w:rFonts w:ascii="Times New Roman" w:hAnsi="Times New Roman" w:cs="Times New Roman"/>
              </w:rPr>
            </w:pPr>
            <w:r>
              <w:rPr>
                <w:rFonts w:ascii="Times New Roman" w:hAnsi="Times New Roman" w:cs="Times New Roman"/>
              </w:rPr>
              <w:t>Discussion Boards</w:t>
            </w:r>
          </w:p>
        </w:tc>
        <w:tc>
          <w:tcPr>
            <w:tcW w:w="3117" w:type="dxa"/>
          </w:tcPr>
          <w:p w14:paraId="3BAF48F3" w14:textId="05EE39BB" w:rsidR="006B2FD8" w:rsidRDefault="006B2FD8" w:rsidP="003A1F5D">
            <w:pPr>
              <w:pStyle w:val="ListParagraph"/>
              <w:ind w:left="0"/>
              <w:rPr>
                <w:rFonts w:ascii="Times New Roman" w:hAnsi="Times New Roman" w:cs="Times New Roman"/>
              </w:rPr>
            </w:pPr>
            <w:r>
              <w:rPr>
                <w:rFonts w:ascii="Times New Roman" w:hAnsi="Times New Roman" w:cs="Times New Roman"/>
              </w:rPr>
              <w:t>1.50</w:t>
            </w:r>
          </w:p>
        </w:tc>
      </w:tr>
      <w:tr w:rsidR="006B2FD8" w14:paraId="5E0BC12A" w14:textId="77777777" w:rsidTr="003A1F5D">
        <w:tc>
          <w:tcPr>
            <w:tcW w:w="3116" w:type="dxa"/>
          </w:tcPr>
          <w:p w14:paraId="722EA6CD" w14:textId="0CA015ED" w:rsidR="006B2FD8" w:rsidRDefault="006B2FD8" w:rsidP="003A1F5D">
            <w:pPr>
              <w:pStyle w:val="ListParagraph"/>
              <w:ind w:left="0"/>
              <w:rPr>
                <w:rFonts w:ascii="Times New Roman" w:hAnsi="Times New Roman" w:cs="Times New Roman"/>
              </w:rPr>
            </w:pPr>
            <w:r>
              <w:rPr>
                <w:rFonts w:ascii="Times New Roman" w:hAnsi="Times New Roman" w:cs="Times New Roman"/>
              </w:rPr>
              <w:t>3/15/2026</w:t>
            </w:r>
          </w:p>
        </w:tc>
        <w:tc>
          <w:tcPr>
            <w:tcW w:w="3117" w:type="dxa"/>
          </w:tcPr>
          <w:p w14:paraId="02C1F6B9" w14:textId="5FBCC7F6" w:rsidR="006B2FD8" w:rsidRDefault="006B2FD8" w:rsidP="003A1F5D">
            <w:pPr>
              <w:pStyle w:val="ListParagraph"/>
              <w:ind w:left="0"/>
              <w:rPr>
                <w:rFonts w:ascii="Times New Roman" w:hAnsi="Times New Roman" w:cs="Times New Roman"/>
              </w:rPr>
            </w:pPr>
            <w:r>
              <w:rPr>
                <w:rFonts w:ascii="Times New Roman" w:hAnsi="Times New Roman" w:cs="Times New Roman"/>
              </w:rPr>
              <w:t>Assignment</w:t>
            </w:r>
          </w:p>
        </w:tc>
        <w:tc>
          <w:tcPr>
            <w:tcW w:w="3117" w:type="dxa"/>
          </w:tcPr>
          <w:p w14:paraId="6622BF24" w14:textId="35BEE52B" w:rsidR="006B2FD8" w:rsidRDefault="006B2FD8" w:rsidP="003A1F5D">
            <w:pPr>
              <w:pStyle w:val="ListParagraph"/>
              <w:ind w:left="0"/>
              <w:rPr>
                <w:rFonts w:ascii="Times New Roman" w:hAnsi="Times New Roman" w:cs="Times New Roman"/>
              </w:rPr>
            </w:pPr>
            <w:r>
              <w:rPr>
                <w:rFonts w:ascii="Times New Roman" w:hAnsi="Times New Roman" w:cs="Times New Roman"/>
              </w:rPr>
              <w:t>3.00</w:t>
            </w:r>
          </w:p>
        </w:tc>
      </w:tr>
    </w:tbl>
    <w:p w14:paraId="433D3874" w14:textId="1B360D67" w:rsidR="003A1F5D" w:rsidRPr="00C20293" w:rsidRDefault="003A1F5D" w:rsidP="003A1F5D">
      <w:pPr>
        <w:pStyle w:val="ListParagraph"/>
        <w:rPr>
          <w:rFonts w:ascii="Times New Roman" w:hAnsi="Times New Roman" w:cs="Times New Roman"/>
        </w:rPr>
      </w:pPr>
    </w:p>
    <w:p w14:paraId="5B5D4CAE" w14:textId="4EEBBBE2" w:rsidR="00C20293" w:rsidRPr="003A1F5D" w:rsidRDefault="00C20293" w:rsidP="003A1F5D">
      <w:pPr>
        <w:pStyle w:val="ListParagraph"/>
        <w:rPr>
          <w:rFonts w:ascii="Times New Roman" w:hAnsi="Times New Roman" w:cs="Times New Roman"/>
        </w:rPr>
      </w:pPr>
    </w:p>
    <w:p w14:paraId="1717CA51" w14:textId="023B7A97" w:rsidR="00060D64" w:rsidRPr="003A1F5D" w:rsidRDefault="00060D64" w:rsidP="00C20293">
      <w:pPr>
        <w:pStyle w:val="ListParagraph"/>
        <w:ind w:left="1800"/>
        <w:rPr>
          <w:rFonts w:ascii="Times New Roman" w:hAnsi="Times New Roman" w:cs="Times New Roman"/>
          <w:b/>
          <w:bCs/>
        </w:rPr>
      </w:pPr>
    </w:p>
    <w:sectPr w:rsidR="00060D64" w:rsidRPr="003A1F5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A5E2" w14:textId="77777777" w:rsidR="00683301" w:rsidRDefault="00683301" w:rsidP="006B2FD8">
      <w:pPr>
        <w:spacing w:after="0" w:line="240" w:lineRule="auto"/>
      </w:pPr>
      <w:r>
        <w:separator/>
      </w:r>
    </w:p>
  </w:endnote>
  <w:endnote w:type="continuationSeparator" w:id="0">
    <w:p w14:paraId="0348B86E" w14:textId="77777777" w:rsidR="00683301" w:rsidRDefault="00683301" w:rsidP="006B2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544320"/>
      <w:docPartObj>
        <w:docPartGallery w:val="Page Numbers (Bottom of Page)"/>
        <w:docPartUnique/>
      </w:docPartObj>
    </w:sdtPr>
    <w:sdtEndPr>
      <w:rPr>
        <w:noProof/>
      </w:rPr>
    </w:sdtEndPr>
    <w:sdtContent>
      <w:p w14:paraId="3C56C29F" w14:textId="4CAA767A" w:rsidR="006B2FD8" w:rsidRDefault="006B2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81936" w14:textId="77777777" w:rsidR="006B2FD8" w:rsidRDefault="006B2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82E2" w14:textId="77777777" w:rsidR="00683301" w:rsidRDefault="00683301" w:rsidP="006B2FD8">
      <w:pPr>
        <w:spacing w:after="0" w:line="240" w:lineRule="auto"/>
      </w:pPr>
      <w:r>
        <w:separator/>
      </w:r>
    </w:p>
  </w:footnote>
  <w:footnote w:type="continuationSeparator" w:id="0">
    <w:p w14:paraId="00137825" w14:textId="77777777" w:rsidR="00683301" w:rsidRDefault="00683301" w:rsidP="006B2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072"/>
    <w:multiLevelType w:val="hybridMultilevel"/>
    <w:tmpl w:val="67A811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D13D3"/>
    <w:multiLevelType w:val="hybridMultilevel"/>
    <w:tmpl w:val="5156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90B0C"/>
    <w:multiLevelType w:val="hybridMultilevel"/>
    <w:tmpl w:val="C48E0B02"/>
    <w:lvl w:ilvl="0" w:tplc="56A0BD80">
      <w:start w:val="1"/>
      <w:numFmt w:val="upperLetter"/>
      <w:lvlText w:val="%1."/>
      <w:lvlJc w:val="left"/>
      <w:pPr>
        <w:ind w:left="1800" w:hanging="360"/>
      </w:pPr>
      <w:rPr>
        <w:rFonts w:hint="default"/>
      </w:rPr>
    </w:lvl>
    <w:lvl w:ilvl="1" w:tplc="04090011">
      <w:start w:val="1"/>
      <w:numFmt w:val="decimal"/>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4D104E"/>
    <w:multiLevelType w:val="hybridMultilevel"/>
    <w:tmpl w:val="F24CEBD6"/>
    <w:lvl w:ilvl="0" w:tplc="04090011">
      <w:start w:val="1"/>
      <w:numFmt w:val="decimal"/>
      <w:lvlText w:val="%1)"/>
      <w:lvlJc w:val="left"/>
      <w:pPr>
        <w:ind w:left="1800" w:hanging="360"/>
      </w:pPr>
      <w:rPr>
        <w:rFonts w:hint="default"/>
      </w:rPr>
    </w:lvl>
    <w:lvl w:ilvl="1" w:tplc="FFFFFFFF">
      <w:start w:val="1"/>
      <w:numFmt w:val="decimal"/>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232A3E54"/>
    <w:multiLevelType w:val="multilevel"/>
    <w:tmpl w:val="DA1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B23D2"/>
    <w:multiLevelType w:val="multilevel"/>
    <w:tmpl w:val="EFF2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E47E7"/>
    <w:multiLevelType w:val="multilevel"/>
    <w:tmpl w:val="7E06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B13F2"/>
    <w:multiLevelType w:val="hybridMultilevel"/>
    <w:tmpl w:val="D87A658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685AA4"/>
    <w:multiLevelType w:val="multilevel"/>
    <w:tmpl w:val="338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960DB"/>
    <w:multiLevelType w:val="multilevel"/>
    <w:tmpl w:val="E6E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20AF"/>
    <w:multiLevelType w:val="multilevel"/>
    <w:tmpl w:val="45CC1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CE678E"/>
    <w:multiLevelType w:val="hybridMultilevel"/>
    <w:tmpl w:val="94BA07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801D43"/>
    <w:multiLevelType w:val="multilevel"/>
    <w:tmpl w:val="912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73595"/>
    <w:multiLevelType w:val="multilevel"/>
    <w:tmpl w:val="9E7C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E0289"/>
    <w:multiLevelType w:val="multilevel"/>
    <w:tmpl w:val="E8C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27221"/>
    <w:multiLevelType w:val="multilevel"/>
    <w:tmpl w:val="66C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56B7A"/>
    <w:multiLevelType w:val="multilevel"/>
    <w:tmpl w:val="EE5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7325">
    <w:abstractNumId w:val="1"/>
  </w:num>
  <w:num w:numId="2" w16cid:durableId="85001104">
    <w:abstractNumId w:val="11"/>
  </w:num>
  <w:num w:numId="3" w16cid:durableId="282733599">
    <w:abstractNumId w:val="4"/>
  </w:num>
  <w:num w:numId="4" w16cid:durableId="138114721">
    <w:abstractNumId w:val="14"/>
  </w:num>
  <w:num w:numId="5" w16cid:durableId="1568415438">
    <w:abstractNumId w:val="10"/>
  </w:num>
  <w:num w:numId="6" w16cid:durableId="686836870">
    <w:abstractNumId w:val="16"/>
  </w:num>
  <w:num w:numId="7" w16cid:durableId="670528499">
    <w:abstractNumId w:val="0"/>
  </w:num>
  <w:num w:numId="8" w16cid:durableId="2085756673">
    <w:abstractNumId w:val="7"/>
  </w:num>
  <w:num w:numId="9" w16cid:durableId="596256917">
    <w:abstractNumId w:val="8"/>
  </w:num>
  <w:num w:numId="10" w16cid:durableId="1086926247">
    <w:abstractNumId w:val="2"/>
  </w:num>
  <w:num w:numId="11" w16cid:durableId="904216449">
    <w:abstractNumId w:val="13"/>
  </w:num>
  <w:num w:numId="12" w16cid:durableId="1015963623">
    <w:abstractNumId w:val="3"/>
  </w:num>
  <w:num w:numId="13" w16cid:durableId="1923372015">
    <w:abstractNumId w:val="15"/>
  </w:num>
  <w:num w:numId="14" w16cid:durableId="625621487">
    <w:abstractNumId w:val="12"/>
  </w:num>
  <w:num w:numId="15" w16cid:durableId="152456264">
    <w:abstractNumId w:val="9"/>
  </w:num>
  <w:num w:numId="16" w16cid:durableId="1217740994">
    <w:abstractNumId w:val="6"/>
  </w:num>
  <w:num w:numId="17" w16cid:durableId="1861430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BF"/>
    <w:rsid w:val="00060D64"/>
    <w:rsid w:val="000B427A"/>
    <w:rsid w:val="00112368"/>
    <w:rsid w:val="00180EE4"/>
    <w:rsid w:val="00187A28"/>
    <w:rsid w:val="002E06E0"/>
    <w:rsid w:val="003A1F5D"/>
    <w:rsid w:val="00640342"/>
    <w:rsid w:val="00683301"/>
    <w:rsid w:val="006B2FD8"/>
    <w:rsid w:val="00B807BF"/>
    <w:rsid w:val="00BB76C4"/>
    <w:rsid w:val="00C20293"/>
    <w:rsid w:val="00E24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EC9"/>
  <w15:chartTrackingRefBased/>
  <w15:docId w15:val="{F8EE6374-9AF3-4DB5-8FDF-135EC7CC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7BF"/>
    <w:rPr>
      <w:rFonts w:eastAsiaTheme="majorEastAsia" w:cstheme="majorBidi"/>
      <w:color w:val="272727" w:themeColor="text1" w:themeTint="D8"/>
    </w:rPr>
  </w:style>
  <w:style w:type="paragraph" w:styleId="Title">
    <w:name w:val="Title"/>
    <w:basedOn w:val="Normal"/>
    <w:next w:val="Normal"/>
    <w:link w:val="TitleChar"/>
    <w:uiPriority w:val="10"/>
    <w:qFormat/>
    <w:rsid w:val="00B8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7BF"/>
    <w:pPr>
      <w:spacing w:before="160"/>
      <w:jc w:val="center"/>
    </w:pPr>
    <w:rPr>
      <w:i/>
      <w:iCs/>
      <w:color w:val="404040" w:themeColor="text1" w:themeTint="BF"/>
    </w:rPr>
  </w:style>
  <w:style w:type="character" w:customStyle="1" w:styleId="QuoteChar">
    <w:name w:val="Quote Char"/>
    <w:basedOn w:val="DefaultParagraphFont"/>
    <w:link w:val="Quote"/>
    <w:uiPriority w:val="29"/>
    <w:rsid w:val="00B807BF"/>
    <w:rPr>
      <w:i/>
      <w:iCs/>
      <w:color w:val="404040" w:themeColor="text1" w:themeTint="BF"/>
    </w:rPr>
  </w:style>
  <w:style w:type="paragraph" w:styleId="ListParagraph">
    <w:name w:val="List Paragraph"/>
    <w:basedOn w:val="Normal"/>
    <w:uiPriority w:val="34"/>
    <w:qFormat/>
    <w:rsid w:val="00B807BF"/>
    <w:pPr>
      <w:ind w:left="720"/>
      <w:contextualSpacing/>
    </w:pPr>
  </w:style>
  <w:style w:type="character" w:styleId="IntenseEmphasis">
    <w:name w:val="Intense Emphasis"/>
    <w:basedOn w:val="DefaultParagraphFont"/>
    <w:uiPriority w:val="21"/>
    <w:qFormat/>
    <w:rsid w:val="00B807BF"/>
    <w:rPr>
      <w:i/>
      <w:iCs/>
      <w:color w:val="0F4761" w:themeColor="accent1" w:themeShade="BF"/>
    </w:rPr>
  </w:style>
  <w:style w:type="paragraph" w:styleId="IntenseQuote">
    <w:name w:val="Intense Quote"/>
    <w:basedOn w:val="Normal"/>
    <w:next w:val="Normal"/>
    <w:link w:val="IntenseQuoteChar"/>
    <w:uiPriority w:val="30"/>
    <w:qFormat/>
    <w:rsid w:val="00B8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7BF"/>
    <w:rPr>
      <w:i/>
      <w:iCs/>
      <w:color w:val="0F4761" w:themeColor="accent1" w:themeShade="BF"/>
    </w:rPr>
  </w:style>
  <w:style w:type="character" w:styleId="IntenseReference">
    <w:name w:val="Intense Reference"/>
    <w:basedOn w:val="DefaultParagraphFont"/>
    <w:uiPriority w:val="32"/>
    <w:qFormat/>
    <w:rsid w:val="00B807BF"/>
    <w:rPr>
      <w:b/>
      <w:bCs/>
      <w:smallCaps/>
      <w:color w:val="0F4761" w:themeColor="accent1" w:themeShade="BF"/>
      <w:spacing w:val="5"/>
    </w:rPr>
  </w:style>
  <w:style w:type="character" w:styleId="Hyperlink">
    <w:name w:val="Hyperlink"/>
    <w:basedOn w:val="DefaultParagraphFont"/>
    <w:uiPriority w:val="99"/>
    <w:unhideWhenUsed/>
    <w:rsid w:val="00B807BF"/>
    <w:rPr>
      <w:color w:val="467886" w:themeColor="hyperlink"/>
      <w:u w:val="single"/>
    </w:rPr>
  </w:style>
  <w:style w:type="character" w:styleId="UnresolvedMention">
    <w:name w:val="Unresolved Mention"/>
    <w:basedOn w:val="DefaultParagraphFont"/>
    <w:uiPriority w:val="99"/>
    <w:semiHidden/>
    <w:unhideWhenUsed/>
    <w:rsid w:val="00B807BF"/>
    <w:rPr>
      <w:color w:val="605E5C"/>
      <w:shd w:val="clear" w:color="auto" w:fill="E1DFDD"/>
    </w:rPr>
  </w:style>
  <w:style w:type="character" w:styleId="FollowedHyperlink">
    <w:name w:val="FollowedHyperlink"/>
    <w:basedOn w:val="DefaultParagraphFont"/>
    <w:uiPriority w:val="99"/>
    <w:semiHidden/>
    <w:unhideWhenUsed/>
    <w:rsid w:val="002E06E0"/>
    <w:rPr>
      <w:color w:val="96607D" w:themeColor="followedHyperlink"/>
      <w:u w:val="single"/>
    </w:rPr>
  </w:style>
  <w:style w:type="table" w:styleId="TableGrid">
    <w:name w:val="Table Grid"/>
    <w:basedOn w:val="TableNormal"/>
    <w:uiPriority w:val="39"/>
    <w:rsid w:val="003A1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2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FD8"/>
  </w:style>
  <w:style w:type="paragraph" w:styleId="Footer">
    <w:name w:val="footer"/>
    <w:basedOn w:val="Normal"/>
    <w:link w:val="FooterChar"/>
    <w:uiPriority w:val="99"/>
    <w:unhideWhenUsed/>
    <w:rsid w:val="006B2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oldrepubl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Segal</dc:creator>
  <cp:keywords/>
  <dc:description/>
  <cp:lastModifiedBy>Roman Segal</cp:lastModifiedBy>
  <cp:revision>3</cp:revision>
  <dcterms:created xsi:type="dcterms:W3CDTF">2026-03-15T22:05:00Z</dcterms:created>
  <dcterms:modified xsi:type="dcterms:W3CDTF">2026-03-28T18:56:00Z</dcterms:modified>
</cp:coreProperties>
</file>