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"ТЕХТРАНС"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ИНН 2130219566 КПП 213001001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ОГРН 1202100005227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6985</wp:posOffset>
            </wp:positionV>
            <wp:extent cx="1093470" cy="1162050"/>
            <wp:effectExtent b="0" l="0" r="0" t="0"/>
            <wp:wrapSquare wrapText="bothSides" distB="0" distT="0" distL="114935" distR="11493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428037, РФ, Чувашская Республика,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 Чебоксары, Кабельный проезд, дом 4. оф. №2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тел. (8352) 46-00-05, 48-77-07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tehtrans21@mail.ru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Исх. №20/08-21 от 02.08.2021 </w:t>
      </w:r>
    </w:p>
    <w:p w:rsidR="00000000" w:rsidDel="00000000" w:rsidP="00000000" w:rsidRDefault="00000000" w:rsidRPr="00000000" w14:paraId="0000000C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72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Уважаемые коллеги!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Виды работ, которые производит ООО «Техтранс»: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Приемо-сдаточные испытания оборудования ПС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Контрольные испытания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Комплексное опробование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Производство ТО устройств РЗА, ЩПТ: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при новом включении, запись уставок (пуско-наладка)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Первый профилактический контроль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Профилактический контроль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Профилактическое восстановление (ремонт)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Тестовый контроль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Опробование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Технический осмотр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АВР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Производство ТО электрооборудования ПС: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Диагностирование электрооборудования.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Проверку функциональности и регулировку механизмов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Очистку поверхностей от пыли, грязи и возможных подтеков масла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Протяжку контактных соединений.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Смазывание контактных и прочих трущихся деталей, и соединений.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Продувку оборудования и помещений.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при утечке трансформаторного масла и смазочных жидкостей.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 штате предприятия высококвалифицированный, обученный персонал, а также все необходимое оборудование для производства указанных работ.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Приборный парк ООО «Техтранс»: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Установка для проверки кабеля из сшитого полиэтилена HVA-60, напряжением 60 кВ с частотой 0,1 Hz;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Установка для высоковольтных испытаний (до 110 кВ) УИВ-100;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Установка для высоковольтных испытаний (до 70 кВ) АИД-70М;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Устройство для проверки сложных УРЗА – РЕТОМ-61, РЕТОМ-51;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Устройство для проверки простых УРЗА – РЕТОМ-21, с трансформатором нагрузочным РЕТ-3000 и блоком для снятия вольтамперных характеристик РЕТ-ВАХ-2000;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Комплекс для прогрузки первичным током РЕТОМ-30КА;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Комплекс для проверки ВЧ-аппаратуры и ВЧ-связи - РЕТОМ-ВЧ/64;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Микроомметр и милиомметр РЕТ-МОМ и РЕТ-МОМ.2;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Устройство для проверки механических характеристик выключателей ПКВ-М7;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Тепловизор Fluke;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Рефлектометр РЕЙС-205;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Измеритель параметров силовых трансформаторов Коэффициент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Измеритель многофункциональный Sonel MPI-520;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Мегомметр Sonel MIC-2500;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Омметр Виток;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Метеостанция;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Осциллографы Fluke;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Мультиметры;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Средства индивидуальной защиты персонала.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 уважением,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Директор</w:t>
        <w:tab/>
        <w:tab/>
        <w:tab/>
        <w:tab/>
        <w:tab/>
        <w:tab/>
        <w:tab/>
        <w:tab/>
        <w:tab/>
        <w:tab/>
        <w:t xml:space="preserve">Р.М.Агаев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108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3240" w:hanging="1440"/>
      </w:pPr>
      <w:rPr/>
    </w:lvl>
    <w:lvl w:ilvl="5">
      <w:start w:val="1"/>
      <w:numFmt w:val="decimal"/>
      <w:lvlText w:val="%1.%2.%3.%4.%5.%6."/>
      <w:lvlJc w:val="left"/>
      <w:pPr>
        <w:ind w:left="3960" w:hanging="1800"/>
      </w:pPr>
      <w:rPr/>
    </w:lvl>
    <w:lvl w:ilvl="6">
      <w:start w:val="1"/>
      <w:numFmt w:val="decimal"/>
      <w:lvlText w:val="%1.%2.%3.%4.%5.%6.%7."/>
      <w:lvlJc w:val="left"/>
      <w:pPr>
        <w:ind w:left="4680" w:hanging="2160"/>
      </w:pPr>
      <w:rPr/>
    </w:lvl>
    <w:lvl w:ilvl="7">
      <w:start w:val="1"/>
      <w:numFmt w:val="decimal"/>
      <w:lvlText w:val="%1.%2.%3.%4.%5.%6.%7.%8."/>
      <w:lvlJc w:val="left"/>
      <w:pPr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ind w:left="5760" w:hanging="25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