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Eukara Core System Architecture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2E5395"/>
          <w:sz w:val="24"/>
          <w:szCs w:val="24"/>
        </w:rPr>
        <w:t xml:space="preserve">Proposed design mapped against what the codebase actually runs today</w:t>
      </w:r>
    </w:p>
    <w:p>
      <w:pPr>
        <w:spacing w:after="24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Source: the proposed architecture document you provided (“Eukara Core System Architecture”), cross-referenced against a direct read of the repository (src/, docs/, decisions/) and docs/journal.md. Findings are code-reading based, not runtime-verified — see the note before the gaps section.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How to read this document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7560"/>
      </w:tblGrid>
      <w:tr>
        <w:tc>
          <w:tcPr>
            <w:tcW w:type="dxa" w:w="25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DCEFD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Implemented as proposed</w:t>
            </w:r>
          </w:p>
        </w:tc>
        <w:tc>
          <w:tcPr>
            <w:tcW w:type="dxa" w:w="756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Matches the proposed design closely (model, mechanism and trigger conditions all line up).</w:t>
            </w:r>
          </w:p>
        </w:tc>
      </w:tr>
      <w:tr>
        <w:tc>
          <w:tcPr>
            <w:tcW w:type="dxa" w:w="25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Implemented differently</w:t>
            </w:r>
          </w:p>
        </w:tc>
        <w:tc>
          <w:tcPr>
            <w:tcW w:type="dxa" w:w="756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Something real exists and does the job, but the model, mechanism, timing or terminology differs from what the proposal describes.</w:t>
            </w:r>
          </w:p>
        </w:tc>
      </w:tr>
      <w:tr>
        <w:tc>
          <w:tcPr>
            <w:tcW w:type="dxa" w:w="25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E6D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Partially implemented</w:t>
            </w:r>
          </w:p>
        </w:tc>
        <w:tc>
          <w:tcPr>
            <w:tcW w:type="dxa" w:w="756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Only part of the described behaviour is built; the rest is missing or unwired.</w:t>
            </w:r>
          </w:p>
        </w:tc>
      </w:tr>
      <w:tr>
        <w:tc>
          <w:tcPr>
            <w:tcW w:type="dxa" w:w="25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implemented</w:t>
            </w:r>
          </w:p>
        </w:tc>
        <w:tc>
          <w:tcPr>
            <w:tcW w:type="dxa" w:w="756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Nothing functional exists yet — a placeholder, a dead config entry, or no code at all.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At a glance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1890"/>
        <w:gridCol w:w="1890"/>
        <w:gridCol w:w="1890"/>
        <w:gridCol w:w="1890"/>
      </w:tblGrid>
      <w:tr>
        <w:tc>
          <w:tcPr>
            <w:tcW w:type="dxa" w:w="25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layers mapped</w:t>
            </w:r>
          </w:p>
        </w:tc>
        <w:tc>
          <w:tcPr>
            <w:tcW w:type="dxa" w:w="189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189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Different</w:t>
            </w:r>
          </w:p>
        </w:tc>
        <w:tc>
          <w:tcPr>
            <w:tcW w:type="dxa" w:w="189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89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Missing</w:t>
            </w:r>
          </w:p>
        </w:tc>
      </w:tr>
      <w:tr>
        <w:tc>
          <w:tcPr>
            <w:tcW w:type="dxa" w:w="25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12</w:t>
            </w:r>
          </w:p>
        </w:tc>
        <w:tc>
          <w:tcPr>
            <w:tcW w:type="dxa" w:w="189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DCEFD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type="dxa" w:w="189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6</w:t>
            </w:r>
          </w:p>
        </w:tc>
        <w:tc>
          <w:tcPr>
            <w:tcW w:type="dxa" w:w="189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E6D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type="dxa" w:w="189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Domain 1 — Synchronous Ingress &amp; Routing (Real-Time Input)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20"/>
        <w:gridCol w:w="4220"/>
        <w:gridCol w:w="1600"/>
      </w:tblGrid>
      <w:tr>
        <w:trPr>
          <w:tblHeader/>
        </w:trP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design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reality (verified in code)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A0
Ingress Context Injection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database trigger injects a “Style Card”, the last 3 factual triples, and the active mood score into the prompt metadata before routing runs.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single KV read (telemetry_${userId}) pulling a device battery/network string — not a Style Card, not triples, not a mood score.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Runs after curator classification (Layer A1) and after the memory/semantic/episode/graph context has already been assembled, not before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D1 trigger exists anywhere (D1 doesn’t support them); this is plain application code.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src/bot/message.ts:388–398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A1
The Curator (Routing &amp; Triage)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Structured JSON intent classifier: casual, emotional_vent, crisis, code, functional, multimodal_image_request.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Two-tier model choice; fails open after a 600ms timeout to a high-fidelity default.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model only — @cf/meta/llama-3.2-3b-instruct — classifies casual / emotional_vent / crisis / code / functional. No multimodal_image_request value; media bypasses the curator entirely (see below).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second tier found. Fails open on any error to {intent: casual, isCrisis: false}, which then flows into the same default chat route — not a distinct escalation model.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src/ai/curator.ts, src/ai/router.ts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E6D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Partial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Voice Modality Intake (STT)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Dedicated speech-to-text layer, tiered models, preserves emotional cues from the audio.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@cf/deepgram/nova-3 is declared in the model registry but has zero call sites anywhere in src/.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Voice/audio is instead base64-encoded and sent straight to the vision/multimodal chat model (llava-1.5-7b-hf) with a prompt asking it to interpret the audio directly.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transcription step, no fallback tier.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src/config/models.ts:43; src/bot/message.ts:823–894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Missing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Domain 2 — Synchronous Egress (The Response Engines)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20"/>
        <w:gridCol w:w="4220"/>
        <w:gridCol w:w="1600"/>
      </w:tblGrid>
      <w:tr>
        <w:trPr>
          <w:tblHeader/>
        </w:trP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design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reality (verified in code)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B1 &amp; D
Standard Chat &amp; Functional Execution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combined layer for casual conversation and functional/system actions (timers, pins, lists).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casual → @cf/meta/llama-3.3-70b-instruct-fp8-fast (the default chat model).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functional → @cf/moonshotai/kimi-k2.7-code, thinkingLevel HIGH — the same model slot used for “code”, not the chat model. So functional intent is actually handled by the Brain tier, not bundled with casual chat.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src/ai/router.ts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B2
The “Soul” (Deep Emotional &amp; Crisis)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therapeutic layer for both emotional_vent and crisis, with long-term attachment tracking (AEDP framework).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emotional_vent → the same default chat model as casual (llama-3.3-70b) — no dedicated “Soul” model exists.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crisis → never reaches a model at all. A hard-coded firewall intercepts before generation and sends a fixed Samaritans / SHOUT reply with Voice and Delete buttons.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AEDP framework or attachment-tracking logic found anywhere in src/.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src/bot/message.ts (~line 299), src/ai/router.ts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C
The “Brain” (Advanced Coding &amp; Technical Logic)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Dedicated tier for algorithm creation, scripting and debugging.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@cf/moonshotai/kimi-k2.7-code, thinkingLevel HIGH, for both code and functional intents.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second/fallback tier confirmed.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src/ai/router.ts, src/config/models.ts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DCEFD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H — Expression
Text-to-Speech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Dedicated TTS tier.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Runs on the Gemini Speech Generation API (gemini-3.1-flash-tts-preview), voice “Zubenelgenubi”, using GEMINI_API_KEY.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Triggered on demand by the 🔊 Voice inline button, not automatically on every reply.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GCP_TTS_API_KEY secret is declared in env types but never referenced — dead configuration.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src/lib/tts.ts:1–66; src/bot/callback.ts:38–52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H — Expression
Image Generation (“Nano Banana”)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Two-tier image generation pipeline: standard engine + premium escalation.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generate_image tool exists in the tool schema and claims to route to Gemini, but its execute() function is a no-op stub that just echoes the prompt back.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image is ever produced. No image-generation model appears anywhere in the model registry.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src/tools/media-tools.ts:6–17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Missing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Domain 3 — Asynchronous Inline Workflows (Post-Message Pipeline)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20"/>
        <w:gridCol w:w="4220"/>
        <w:gridCol w:w="1600"/>
      </w:tblGrid>
      <w:tr>
        <w:trPr>
          <w:tblHeader/>
        </w:trP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design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reality (verified in code)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G &amp; F3
Single-Pass Subconscious Processing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Five sub-tasks (knowledge-graph updates, mood/emotion tagging, reaction interpretation, auto-episode tracking) collapsed into one JSON pass.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model, @cf/meta/llama-3.2-3b-instruct, runs after every real turn via ctx.waitUntil (non-blocking).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Extracts knowledge-graph triples, mood_score plus up to 3 emotions, personality traits and episode topic — 4 of the 5 described sub-tasks.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Reaction interpretation is not included: Telegram is subscribed to message_reaction updates, but the webhook handler never reads update.message_reaction, so no reaction ever reaches this pass.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src/ai/background.ts:75–113; src/index.ts:326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E6D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Partial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Multimodal Representation
(Vector Space Insertion)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gemini-embedding-2 — natively multimodal (text + image + audio), 3072-dimensional vectors.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@cf/qwen/qwen3-embedding-0.6b via Cloudflare Vectorize — text only. Indexes memory “fact” strings (truncated to 200 characters; full text rehydrated from D1 on retrieval).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reranker (@cf/baai/bge-reranker-base) also runs at retrieval time — an extra stage the proposal doesn’t mention at all.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image or audio content is ever embedded; both are only ever passed inline to the vision model.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src/services/vector.ts:17–28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Domain 4 — Asynchronous Batch Workflows (Deep Background / Cron)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20"/>
        <w:gridCol w:w="4220"/>
        <w:gridCol w:w="1600"/>
      </w:tblGrid>
      <w:tr>
        <w:trPr>
          <w:tblHeader/>
        </w:trP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design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reality (verified in code)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F4
Therapeutic REM Cycle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Daily job reviewing day-long conversational blocks to trace emotional trends and defence mechanisms.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daily job exists. wrangler.jsonc defines exactly one cron trigger (every minute); application-level gating only recognises monthly consolidation, twice-weekly curiosity research, per-minute outreach rolls, reminder delivery and the Sunday weekly report.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code anywhere computes “defence mechanisms”, attachment style, or aggregates mood across a day.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closest analogue is the per-message mood_score/emotions tagging from the Domain 3 subconscious pass — it never gets rolled up into a daily or trend view.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wrangler.jsonc; src/router/cron.ts:35–132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Missing</w:t>
            </w:r>
          </w:p>
        </w:tc>
      </w:tr>
      <w:tr>
        <w:tc>
          <w:tcPr>
            <w:tcW w:type="dxa" w:w="144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F5
The Memory Conflict Resolver</w:t>
            </w:r>
          </w:p>
        </w:tc>
        <w:tc>
          <w:tcPr>
            <w:tcW w:type="dxa" w:w="28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Scheduled scan across the knowledge graph and vector DB to resolve contradictions, deduplicate, and deprecate stale records.</w:t>
            </w:r>
          </w:p>
        </w:tc>
        <w:tc>
          <w:tcPr>
            <w:tcW w:type="dxa" w:w="422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related mechanisms exist instead of one scheduled scan: (1) real-time supersession — when the AI’s memory-save tool detects a contradiction at write time, it flags the old row’s superseded_at field rather than deleting it; (2) a monthly consolidation workflow that runs a scheduled dedup pass (model @cf/zai-org/glm-4.7-flash) plus a Gemini consolidation pass, on the 1st of the month at 03:00.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Closer to the proposal than most items here, but monthly rather than continuous, and still partly Gemini-dependent.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src/services/memory.ts; src/workflows/consolidation.ts</w:t>
            </w:r>
          </w:p>
        </w:tc>
        <w:tc>
          <w:tcPr>
            <w:tcW w:type="dxa" w:w="1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Current model registry</w:t>
      </w:r>
    </w:p>
    <w:p>
      <w:pPr>
        <w:spacing w:after="160" w:before="0"/>
      </w:pPr>
      <w:r>
        <w:rPr>
          <w:rFonts w:ascii="Arial" w:cs="Arial" w:eastAsia="Arial" w:hAnsi="Arial"/>
          <w:sz w:val="19"/>
          <w:szCs w:val="19"/>
        </w:rPr>
        <w:t xml:space="preserve">Every model Eukara actually calls today, regardless of which proposed layer it maps to. All calls go through a single Cloudflare Workers AI binding — there is no multi-provider cascade in the live routing path.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80"/>
        <w:gridCol w:w="4000"/>
      </w:tblGrid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Slot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Chat (default)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@cf/meta/llama-3.3-70b-instruct-fp8-fast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casual conversation; emotional_vent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Code / analytical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@cf/moonshotai/kimi-k2.7-code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code and functional intents (thinkingLevel HIGH)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Observation / triage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@cf/meta/llama-3.2-3b-instruct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curator intent classification; subconscious background pass; topic-shift check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Tagging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@cf/meta/llama-3.2-1b-instruct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mood/clinical tagging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Dedup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@cf/zai-org/glm-4.7-flash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monthly memory-consolidation dedup pass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Embedding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@cf/qwen/qwen3-embedding-0.6b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Vectorize semantic memory search (text only)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Reranker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@cf/baai/bge-reranker-base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reordering semantic search results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Vision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@cf/llava-hf/llava-1.5-7b-hf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media (images, voice, video, documents)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STT (registered, unused)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@cf/deepgram/nova-3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declared only — no call sites</w:t>
            </w:r>
          </w:p>
        </w:tc>
      </w:tr>
      <w:tr>
        <w:tc>
          <w:tcPr>
            <w:tcW w:type="dxa" w:w="26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Fallback pro (registered, unused)</w:t>
            </w:r>
          </w:p>
        </w:tc>
        <w:tc>
          <w:tcPr>
            <w:tcW w:type="dxa" w:w="34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@cf/moonshotai/kimi-k2.7-code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defined but never wired into any cascade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Terminology map</w:t>
      </w:r>
    </w:p>
    <w:p>
      <w:pPr>
        <w:spacing w:after="160" w:before="0"/>
      </w:pPr>
      <w:r>
        <w:rPr>
          <w:rFonts w:ascii="Arial" w:cs="Arial" w:eastAsia="Arial" w:hAnsi="Arial"/>
          <w:sz w:val="19"/>
          <w:szCs w:val="19"/>
        </w:rPr>
        <w:t xml:space="preserve">The proposed document uses vocabulary that doesn’t appear anywhere in the codebase or its documentation. Here is what each term actually maps to.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80"/>
        <w:gridCol w:w="4000"/>
      </w:tblGrid>
      <w:tr>
        <w:tc>
          <w:tcPr>
            <w:tcW w:type="dxa" w:w="2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term</w:t>
            </w:r>
          </w:p>
        </w:tc>
        <w:tc>
          <w:tcPr>
            <w:tcW w:type="dxa" w:w="38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implementation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2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“Style Card”</w:t>
            </w:r>
          </w:p>
        </w:tc>
        <w:tc>
          <w:tcPr>
            <w:tcW w:type="dxa" w:w="38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persona_config columns (tone, formality, humour_level, emoji_style, therapeutic_approach, verbosity, communication_notes, evolved_traits, topics_of_interest) layered with static Luna / Socrates / Nova text blocks.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src/services/persona.ts:122–132; src/config/personas.ts</w:t>
            </w:r>
          </w:p>
        </w:tc>
      </w:tr>
      <w:tr>
        <w:tc>
          <w:tcPr>
            <w:tcW w:type="dxa" w:w="2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“Factual Triples”</w:t>
            </w:r>
          </w:p>
        </w:tc>
        <w:tc>
          <w:tcPr>
            <w:tcW w:type="dxa" w:w="38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knowledge_graph D1 table storing subject / predicate / object rows, queried and formatted as graph context.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src/services/knowledge-graph.ts:9–76</w:t>
            </w:r>
          </w:p>
        </w:tc>
      </w:tr>
      <w:tr>
        <w:tc>
          <w:tcPr>
            <w:tcW w:type="dxa" w:w="2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“Active Mood Score”</w:t>
            </w:r>
          </w:p>
        </w:tc>
        <w:tc>
          <w:tcPr>
            <w:tcW w:type="dxa" w:w="38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mood_score field produced per message by the subconscious pass, stored as a one-off implicit_mood memory row. Write-only — never read back into the next turn’s context.</w:t>
            </w:r>
          </w:p>
        </w:tc>
        <w:tc>
          <w:tcPr>
            <w:tcW w:type="dxa" w:w="40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src/ai/background.ts:81,94,746; src/bot/message.ts:746–750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Gaps and likely-unflagged regressions</w:t>
      </w:r>
    </w:p>
    <w:p>
      <w:pPr>
        <w:spacing w:after="160" w:before="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These are static-analysis findings from reading the source. They are worth a runtime check (logging the live route.provider value, checking whether pro_context_${userId} KV keys are still being written) before treating them as confirmed bugs rather than probable 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Dead sticky-lane write. </w:t>
      </w:r>
      <w:r>
        <w:rPr>
          <w:rFonts w:ascii="Arial" w:cs="Arial" w:eastAsia="Arial" w:hAnsi="Arial"/>
          <w:sz w:val="20"/>
          <w:szCs w:val="20"/>
        </w:rPr>
        <w:t xml:space="preserve">The KV write that extends the “sticky heavy lane” only fires when route.provider === 'gemini'. Since the router never emits 'gemini' any more, this condition can never be true — the sticky-continuation feature’s write side is dead even though its read/classify side still runs on every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Three workflows still depend on Gemini. </w:t>
      </w:r>
      <w:r>
        <w:rPr>
          <w:rFonts w:ascii="Arial" w:cs="Arial" w:eastAsia="Arial" w:hAnsi="Arial"/>
          <w:sz w:val="20"/>
          <w:szCs w:val="20"/>
        </w:rPr>
        <w:t xml:space="preserve">docs/journal.md records the chat pipeline as fully migrated to Cloudflare Workers AI (2026-06-22), but /architect review, deep research, and the second stage of monthly memory consolidation all still call the Gemini API directly and require GEMINI_API_KEY. Not mentioned anywhere as a known exception.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Grounding is a no-op. </w:t>
      </w:r>
      <w:r>
        <w:rPr>
          <w:rFonts w:ascii="Arial" w:cs="Arial" w:eastAsia="Arial" w:hAnsi="Arial"/>
          <w:sz w:val="20"/>
          <w:szCs w:val="20"/>
        </w:rPr>
        <w:t xml:space="preserve">The router still sets enableGrounding: true on most routes, but Cloudflare grounding support is only wired for the old @cf/google/gemma-4-26b-a4b-it model — not the current default chat model (Llama 3.3). curiosity.ts also reads Gemini-only grounding metadata that’s now always undefined, so autonomous discoveries silently lose their source links.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Unused secret. </w:t>
      </w:r>
      <w:r>
        <w:rPr>
          <w:rFonts w:ascii="Arial" w:cs="Arial" w:eastAsia="Arial" w:hAnsi="Arial"/>
          <w:sz w:val="20"/>
          <w:szCs w:val="20"/>
        </w:rPr>
        <w:t xml:space="preserve">GCP_TTS_API_KEY is declared as a required secret but has zero references in src/ — TTS actually runs on the Gemini Speech Generation API.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Unread Telegram reactions. </w:t>
      </w:r>
      <w:r>
        <w:rPr>
          <w:rFonts w:ascii="Arial" w:cs="Arial" w:eastAsia="Arial" w:hAnsi="Arial"/>
          <w:sz w:val="20"/>
          <w:szCs w:val="20"/>
        </w:rPr>
        <w:t xml:space="preserve">The bot subscribes to message_reaction webhook updates, but nothing in src/index.ts ever reads update.message_reaction — configured but silently unhandled.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Image generation is a stub. </w:t>
      </w:r>
      <w:r>
        <w:rPr>
          <w:rFonts w:ascii="Arial" w:cs="Arial" w:eastAsia="Arial" w:hAnsi="Arial"/>
          <w:sz w:val="20"/>
          <w:szCs w:val="20"/>
        </w:rPr>
        <w:t xml:space="preserve">The generate_image tool is exposed to the model as if functional but only echoes the prompt back; no image is ever produced.</w:t>
      </w:r>
    </w:p>
    <w:p>
      <w:pPr>
        <w:pBdr>
          <w:top w:val="single" w:color="CFCFCF" w:sz="4" w:space="8"/>
        </w:pBdr>
        <w:spacing w:before="3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 on Gemini migration: </w:t>
      </w:r>
      <w:r>
        <w:rPr>
          <w:rFonts w:ascii="Arial" w:cs="Arial" w:eastAsia="Arial" w:hAnsi="Arial"/>
          <w:sz w:val="18"/>
          <w:szCs w:val="18"/>
        </w:rPr>
        <w:t xml:space="preserve">docs/journal.md records a full migration of the chat/routing pipeline from Gemini to Cloudflare Workers AI on 2026-06-22. That migration is real and verified for the primary chat path. It is not complete for /architect, deep research, or monthly memory consolidation, which still call Gemini directly — worth a decision on whether to finish the migration or keep these as deliberate exceptions.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6"/>
        <w:szCs w:val="16"/>
      </w:rPr>
      <w:t xml:space="preserve"> of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FCFCF" w:sz="4" w:space="4"/>
      </w:pBd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Eukara — Architecture: Proposed vs. Current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864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2026-07-01T11:35:27.002Z</dcterms:created>
  <dcterms:modified xsi:type="dcterms:W3CDTF">2026-07-01T11:35:27.003Z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