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Román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Memoria técnica del proyecto. El documento describe el alcance implementado, la metodología seguida, los resultados obtenidos y las limitaciones actuales del prototipo.</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técnicamente justificable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visualizar un inventario nacional de 920 estaciones AEMET y trabajar con estaciones de España. La validación principal se realiza sobre datos de la estación Sevilla Aeropuerto, porque el CSV local reproducible contiene esa estación versionada.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datos reales de riego aplicado, producción y validación de campo.</w:t>
      </w:r>
    </w:p>
    <w:p>
      <w:pPr>
        <w:spacing w:after="120"/>
      </w:pPr>
      <w:r>
        <w:t>Respecto al pronóstico de la semana siguiente, la arquitectura queda preparada, pero no se presenta como funcionalidad principal cerrada. Para recomendar riego a siete días futuros sería necesario alimentar el modelo con predicciones meteorológicas futuras fiables, especialmente temperatura prevista, lluvia prevista y, cuando sea posible, ET0 estimada. El modelo ML no predice el clima por sí mismo; utiliza variables meteorológicas como entrada para estimar la demanda de riego.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versión implementada no se declara una infraestructura cloud operativa.</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 xml:space="preserve">La arquitectura implementa dos opciones de entrenamiento: una red neuronal Keras/TensorFlow y una alternativa </w:t>
      </w:r>
      <w:r>
        <w:rPr>
          <w:rFonts w:ascii="Consolas" w:hAnsi="Consolas"/>
          <w:sz w:val="18"/>
        </w:rPr>
        <w:t>linear_ridge</w:t>
      </w:r>
      <w:r>
        <w:t xml:space="preserve"> ligera para demostraciones reproducibles. La variante Keras se estructura como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Pronóstico a siete días: alcance y limitaciones</w:t>
      </w:r>
    </w:p>
    <w:p>
      <w:pPr>
        <w:spacing w:after="120"/>
      </w:pPr>
      <w:r>
        <w:t>Una evolución lógica del sistema es convertir la recomendación histórica en una recomendación anticipada para los próximos siete días. Técnicamente, esto es posible si el sistema recibe predicciones meteorológicas futuras y las transforma al mismo formato que los datos históricos utilizados por el motor de cálculo y por el modelo ML.</w:t>
      </w:r>
    </w:p>
    <w:p>
      <w:pPr>
        <w:spacing w:after="120"/>
      </w:pPr>
      <w:r>
        <w:t>El flujo objetivo sería:</w:t>
      </w:r>
    </w:p>
    <w:p>
      <w:pPr/>
      <w:r>
        <w:rPr>
          <w:rFonts w:ascii="Consolas" w:hAnsi="Consolas"/>
          <w:sz w:val="16"/>
        </w:rPr>
        <w:t>predicción meteorológica futura + cultivo + fase + superficie -&gt; recomendación de riego a siete días</w:t>
      </w:r>
    </w:p>
    <w:p>
      <w:pPr>
        <w:spacing w:after="120"/>
      </w:pPr>
      <w:r>
        <w:t>La limitación principal es que Machine Learning no sustituye a la predicción meteorológica. Para estimar el riego de la próxima semana, el sistema necesitaría una fuente de pronóstico que proporcione, como mínimo:</w:t>
      </w:r>
    </w:p>
    <w:p>
      <w:pPr>
        <w:pStyle w:val="ListBullet"/>
        <w:spacing w:after="60"/>
      </w:pPr>
      <w:r>
        <w:t>Temperatura máxima y mínima prevista.</w:t>
      </w:r>
    </w:p>
    <w:p>
      <w:pPr>
        <w:pStyle w:val="ListBullet"/>
        <w:spacing w:after="60"/>
      </w:pPr>
      <w:r>
        <w:t>Precipitación prevista o, en su defecto, una estimación justificable de lluvia esperada.</w:t>
      </w:r>
    </w:p>
    <w:p>
      <w:pPr>
        <w:pStyle w:val="ListBullet"/>
        <w:spacing w:after="60"/>
      </w:pPr>
      <w:r>
        <w:t>Horizonte temporal diario.</w:t>
      </w:r>
    </w:p>
    <w:p>
      <w:pPr>
        <w:pStyle w:val="ListBullet"/>
        <w:spacing w:after="60"/>
      </w:pPr>
      <w:r>
        <w:t>Localización asociada a la parcela o municipio.</w:t>
      </w:r>
    </w:p>
    <w:p>
      <w:pPr>
        <w:spacing w:after="120"/>
      </w:pPr>
      <w:r>
        <w:t>Si la fuente solo ofrece probabilidad de precipitación y no lluvia en milímetros, el sistema no debe inventar el dato. En ese caso, la salida tendría que mostrarse como recomendación con incertidumbre o como escenario condicionado a lluvia prevista. Por tanto, el prototipo queda preparado para esta ampliación, pero la versión defendida se valida con históricos reales de AEMET y CSV local reproducible.</w:t>
      </w:r>
    </w:p>
    <w:p>
      <w:pPr>
        <w:pStyle w:val="Heading2"/>
      </w:pPr>
      <w:r>
        <w:t>2.9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2.10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2.11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trazables.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caché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caché.</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documentado, validado y versionado.</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bl>
    <w:p/>
    <w:p>
      <w:pPr>
        <w:spacing w:after="120"/>
      </w:pPr>
      <w:r>
        <w:t>El presupuesto corresponde al prototipo software desarrollado.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Visualización del inventario nacional de 920 estaciones AEMET.</w:t>
      </w:r>
    </w:p>
    <w:p>
      <w:pPr>
        <w:pStyle w:val="ListBullet"/>
        <w:spacing w:after="60"/>
      </w:pPr>
      <w:r>
        <w:t>Filtro de estaciones por provincia y nombre.</w:t>
      </w:r>
    </w:p>
    <w:p>
      <w:pPr>
        <w:pStyle w:val="ListBullet"/>
        <w:spacing w:after="60"/>
      </w:pPr>
      <w:r>
        <w:t>Cálculo estable en modo CSV local fijado a Sevilla Aeropuerto, al ser la estación disponible en el dataset versionado.</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r>
        <w:tc>
          <w:tcPr>
            <w:tcW w:type="dxa" w:w="4536"/>
            <w:vAlign w:val="center"/>
            <w:tcMar>
              <w:top w:w="80" w:type="dxa"/>
              <w:start w:w="120" w:type="dxa"/>
              <w:bottom w:w="80" w:type="dxa"/>
              <w:end w:w="120" w:type="dxa"/>
            </w:tcMar>
          </w:tcPr>
          <w:p>
            <w:pPr>
              <w:spacing w:after="0"/>
            </w:pPr>
            <w:r>
              <w:rPr>
                <w:sz w:val="18"/>
              </w:rPr>
              <w:t>docs/ml_proceso/</w:t>
            </w:r>
          </w:p>
        </w:tc>
        <w:tc>
          <w:tcPr>
            <w:tcW w:type="dxa" w:w="4536"/>
            <w:vAlign w:val="center"/>
            <w:tcMar>
              <w:top w:w="80" w:type="dxa"/>
              <w:start w:w="120" w:type="dxa"/>
              <w:bottom w:w="80" w:type="dxa"/>
              <w:end w:w="120" w:type="dxa"/>
            </w:tcMar>
          </w:tcPr>
          <w:p>
            <w:pPr>
              <w:spacing w:after="0"/>
            </w:pPr>
            <w:r>
              <w:rPr>
                <w:sz w:val="18"/>
              </w:rPr>
              <w:t>Evidencias del proceso ML: código, tablas, gráficas y capturas.</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Interpretación de los indicadores de la aplicación</w:t>
      </w:r>
    </w:p>
    <w:p>
      <w:pPr>
        <w:spacing w:after="120"/>
      </w:pPr>
      <w:r>
        <w:t>La interfaz muestra únicamente indicadores necesarios para que el usuario pueda decidir cuánta agua debe aplicar. Cada resultado se interpreta de la siguiente forma: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Indicador de la app</w:t>
            </w:r>
          </w:p>
        </w:tc>
        <w:tc>
          <w:tcPr>
            <w:tcW w:type="dxa" w:w="2268"/>
            <w:vAlign w:val="center"/>
            <w:tcMar>
              <w:top w:w="80" w:type="dxa"/>
              <w:start w:w="120" w:type="dxa"/>
              <w:bottom w:w="80" w:type="dxa"/>
              <w:end w:w="120" w:type="dxa"/>
            </w:tcMar>
            <w:shd w:fill="E8EEF5"/>
          </w:tcPr>
          <w:p>
            <w:pPr>
              <w:spacing w:after="0"/>
            </w:pPr>
            <w:r>
              <w:rPr>
                <w:b/>
                <w:sz w:val="18"/>
              </w:rPr>
              <w:t>Unidad</w:t>
            </w:r>
          </w:p>
        </w:tc>
        <w:tc>
          <w:tcPr>
            <w:tcW w:type="dxa" w:w="2268"/>
            <w:vAlign w:val="center"/>
            <w:tcMar>
              <w:top w:w="80" w:type="dxa"/>
              <w:start w:w="120" w:type="dxa"/>
              <w:bottom w:w="80" w:type="dxa"/>
              <w:end w:w="120" w:type="dxa"/>
            </w:tcMar>
            <w:shd w:fill="E8EEF5"/>
          </w:tcPr>
          <w:p>
            <w:pPr>
              <w:spacing w:after="0"/>
            </w:pPr>
            <w:r>
              <w:rPr>
                <w:b/>
                <w:sz w:val="18"/>
              </w:rPr>
              <w:t>Significado</w:t>
            </w:r>
          </w:p>
        </w:tc>
        <w:tc>
          <w:tcPr>
            <w:tcW w:type="dxa" w:w="2268"/>
            <w:vAlign w:val="center"/>
            <w:tcMar>
              <w:top w:w="80" w:type="dxa"/>
              <w:start w:w="120" w:type="dxa"/>
              <w:bottom w:w="80" w:type="dxa"/>
              <w:end w:w="120" w:type="dxa"/>
            </w:tcMar>
            <w:shd w:fill="E8EEF5"/>
          </w:tcPr>
          <w:p>
            <w:pPr>
              <w:spacing w:after="0"/>
            </w:pPr>
            <w:r>
              <w:rPr>
                <w:b/>
                <w:sz w:val="18"/>
              </w:rPr>
              <w:t>Utilidad para el cliente</w:t>
            </w:r>
          </w:p>
        </w:tc>
      </w:tr>
      <w:tr>
        <w:tc>
          <w:tcPr>
            <w:tcW w:type="dxa" w:w="2268"/>
            <w:vAlign w:val="center"/>
            <w:tcMar>
              <w:top w:w="80" w:type="dxa"/>
              <w:start w:w="120" w:type="dxa"/>
              <w:bottom w:w="80" w:type="dxa"/>
              <w:end w:w="120" w:type="dxa"/>
            </w:tcMar>
          </w:tcPr>
          <w:p>
            <w:pPr>
              <w:spacing w:after="0"/>
            </w:pPr>
            <w:r>
              <w:rPr>
                <w:sz w:val="18"/>
              </w:rPr>
              <w:t>Riego total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Volumen total recomendado para toda la parcela durante el periodo seleccionado.</w:t>
            </w:r>
          </w:p>
        </w:tc>
        <w:tc>
          <w:tcPr>
            <w:tcW w:type="dxa" w:w="2268"/>
            <w:vAlign w:val="center"/>
            <w:tcMar>
              <w:top w:w="80" w:type="dxa"/>
              <w:start w:w="120" w:type="dxa"/>
              <w:bottom w:w="80" w:type="dxa"/>
              <w:end w:w="120" w:type="dxa"/>
            </w:tcMar>
          </w:tcPr>
          <w:p>
            <w:pPr>
              <w:spacing w:after="0"/>
            </w:pPr>
            <w:r>
              <w:rPr>
                <w:sz w:val="18"/>
              </w:rPr>
              <w:t>Permite saber cuánta agua debe distribuirse en el conjunto de la explotación.</w:t>
            </w:r>
          </w:p>
        </w:tc>
      </w:tr>
      <w:tr>
        <w:tc>
          <w:tcPr>
            <w:tcW w:type="dxa" w:w="2268"/>
            <w:vAlign w:val="center"/>
            <w:tcMar>
              <w:top w:w="80" w:type="dxa"/>
              <w:start w:w="120" w:type="dxa"/>
              <w:bottom w:w="80" w:type="dxa"/>
              <w:end w:w="120" w:type="dxa"/>
            </w:tcMar>
          </w:tcPr>
          <w:p>
            <w:pPr>
              <w:spacing w:after="0"/>
            </w:pPr>
            <w:r>
              <w:rPr>
                <w:sz w:val="18"/>
              </w:rPr>
              <w:t>Riego medio diario</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Promedio diario del volumen total de riego de la parcela.</w:t>
            </w:r>
          </w:p>
        </w:tc>
        <w:tc>
          <w:tcPr>
            <w:tcW w:type="dxa" w:w="2268"/>
            <w:vAlign w:val="center"/>
            <w:tcMar>
              <w:top w:w="80" w:type="dxa"/>
              <w:start w:w="120" w:type="dxa"/>
              <w:bottom w:w="80" w:type="dxa"/>
              <w:end w:w="120" w:type="dxa"/>
            </w:tcMar>
          </w:tcPr>
          <w:p>
            <w:pPr>
              <w:spacing w:after="0"/>
            </w:pPr>
            <w:r>
              <w:rPr>
                <w:sz w:val="18"/>
              </w:rPr>
              <w:t>Facilita convertir la recomendación del periodo en una pauta diaria.</w:t>
            </w:r>
          </w:p>
        </w:tc>
      </w:tr>
      <w:tr>
        <w:tc>
          <w:tcPr>
            <w:tcW w:type="dxa" w:w="2268"/>
            <w:vAlign w:val="center"/>
            <w:tcMar>
              <w:top w:w="80" w:type="dxa"/>
              <w:start w:w="120" w:type="dxa"/>
              <w:bottom w:w="80" w:type="dxa"/>
              <w:end w:w="120" w:type="dxa"/>
            </w:tcMar>
          </w:tcPr>
          <w:p>
            <w:pPr>
              <w:spacing w:after="0"/>
            </w:pPr>
            <w:r>
              <w:rPr>
                <w:sz w:val="18"/>
              </w:rPr>
              <w:t>Litros por planta</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Media diaria estimada por planta según la superficie y el marco medio del cultivo.</w:t>
            </w:r>
          </w:p>
        </w:tc>
        <w:tc>
          <w:tcPr>
            <w:tcW w:type="dxa" w:w="2268"/>
            <w:vAlign w:val="center"/>
            <w:tcMar>
              <w:top w:w="80" w:type="dxa"/>
              <w:start w:w="120" w:type="dxa"/>
              <w:bottom w:w="80" w:type="dxa"/>
              <w:end w:w="120" w:type="dxa"/>
            </w:tcMar>
          </w:tcPr>
          <w:p>
            <w:pPr>
              <w:spacing w:after="0"/>
            </w:pPr>
            <w:r>
              <w:rPr>
                <w:sz w:val="18"/>
              </w:rPr>
              <w:t>Ayuda a interpretar el resultado a escala de árbol o planta.</w:t>
            </w:r>
          </w:p>
        </w:tc>
      </w:tr>
      <w:tr>
        <w:tc>
          <w:tcPr>
            <w:tcW w:type="dxa" w:w="2268"/>
            <w:vAlign w:val="center"/>
            <w:tcMar>
              <w:top w:w="80" w:type="dxa"/>
              <w:start w:w="120" w:type="dxa"/>
              <w:bottom w:w="80" w:type="dxa"/>
              <w:end w:w="120" w:type="dxa"/>
            </w:tcMar>
          </w:tcPr>
          <w:p>
            <w:pPr>
              <w:spacing w:after="0"/>
            </w:pPr>
            <w:r>
              <w:rPr>
                <w:sz w:val="18"/>
              </w:rPr>
              <w:t>Lámina diaria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Profundidad media diaria de agua que debe aplicarse sobre el terreno. Un milímetro equivale a 1 L/m2.</w:t>
            </w:r>
          </w:p>
        </w:tc>
        <w:tc>
          <w:tcPr>
            <w:tcW w:type="dxa" w:w="2268"/>
            <w:vAlign w:val="center"/>
            <w:tcMar>
              <w:top w:w="80" w:type="dxa"/>
              <w:start w:w="120" w:type="dxa"/>
              <w:bottom w:w="80" w:type="dxa"/>
              <w:end w:w="120" w:type="dxa"/>
            </w:tcMar>
          </w:tcPr>
          <w:p>
            <w:pPr>
              <w:spacing w:after="0"/>
            </w:pPr>
            <w:r>
              <w:rPr>
                <w:sz w:val="18"/>
              </w:rPr>
              <w:t>Conecta la recomendación agronómica con una unidad habitual de riego.</w:t>
            </w:r>
          </w:p>
        </w:tc>
      </w:tr>
      <w:tr>
        <w:tc>
          <w:tcPr>
            <w:tcW w:type="dxa" w:w="2268"/>
            <w:vAlign w:val="center"/>
            <w:tcMar>
              <w:top w:w="80" w:type="dxa"/>
              <w:start w:w="120" w:type="dxa"/>
              <w:bottom w:w="80" w:type="dxa"/>
              <w:end w:w="120" w:type="dxa"/>
            </w:tcMar>
          </w:tcPr>
          <w:p>
            <w:pPr>
              <w:spacing w:after="0"/>
            </w:pPr>
            <w:r>
              <w:rPr>
                <w:sz w:val="18"/>
              </w:rPr>
              <w:t>ET0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 referencia media del periodo; representa la demanda atmosférica de agua.</w:t>
            </w:r>
          </w:p>
        </w:tc>
        <w:tc>
          <w:tcPr>
            <w:tcW w:type="dxa" w:w="2268"/>
            <w:vAlign w:val="center"/>
            <w:tcMar>
              <w:top w:w="80" w:type="dxa"/>
              <w:start w:w="120" w:type="dxa"/>
              <w:bottom w:w="80" w:type="dxa"/>
              <w:end w:w="120" w:type="dxa"/>
            </w:tcMar>
          </w:tcPr>
          <w:p>
            <w:pPr>
              <w:spacing w:after="0"/>
            </w:pPr>
            <w:r>
              <w:rPr>
                <w:sz w:val="18"/>
              </w:rPr>
              <w:t>Indica la presión climática: a mayor ET0, mayor tendencia a necesitar riego.</w:t>
            </w:r>
          </w:p>
        </w:tc>
      </w:tr>
      <w:tr>
        <w:tc>
          <w:tcPr>
            <w:tcW w:type="dxa" w:w="2268"/>
            <w:vAlign w:val="center"/>
            <w:tcMar>
              <w:top w:w="80" w:type="dxa"/>
              <w:start w:w="120" w:type="dxa"/>
              <w:bottom w:w="80" w:type="dxa"/>
              <w:end w:w="120" w:type="dxa"/>
            </w:tcMar>
          </w:tcPr>
          <w:p>
            <w:pPr>
              <w:spacing w:after="0"/>
            </w:pPr>
            <w:r>
              <w:rPr>
                <w:sz w:val="18"/>
              </w:rPr>
              <w:t>Lluvia total</w:t>
            </w:r>
          </w:p>
        </w:tc>
        <w:tc>
          <w:tcPr>
            <w:tcW w:type="dxa" w:w="2268"/>
            <w:vAlign w:val="center"/>
            <w:tcMar>
              <w:top w:w="80" w:type="dxa"/>
              <w:start w:w="120" w:type="dxa"/>
              <w:bottom w:w="80" w:type="dxa"/>
              <w:end w:w="120" w:type="dxa"/>
            </w:tcMar>
          </w:tcPr>
          <w:p>
            <w:pPr>
              <w:spacing w:after="0"/>
            </w:pPr>
            <w:r>
              <w:rPr>
                <w:sz w:val="18"/>
              </w:rPr>
              <w:t>mm</w:t>
            </w:r>
          </w:p>
        </w:tc>
        <w:tc>
          <w:tcPr>
            <w:tcW w:type="dxa" w:w="2268"/>
            <w:vAlign w:val="center"/>
            <w:tcMar>
              <w:top w:w="80" w:type="dxa"/>
              <w:start w:w="120" w:type="dxa"/>
              <w:bottom w:w="80" w:type="dxa"/>
              <w:end w:w="120" w:type="dxa"/>
            </w:tcMar>
          </w:tcPr>
          <w:p>
            <w:pPr>
              <w:spacing w:after="0"/>
            </w:pPr>
            <w:r>
              <w:rPr>
                <w:sz w:val="18"/>
              </w:rPr>
              <w:t>Precipitación acumulada durante el periodo.</w:t>
            </w:r>
          </w:p>
        </w:tc>
        <w:tc>
          <w:tcPr>
            <w:tcW w:type="dxa" w:w="2268"/>
            <w:vAlign w:val="center"/>
            <w:tcMar>
              <w:top w:w="80" w:type="dxa"/>
              <w:start w:w="120" w:type="dxa"/>
              <w:bottom w:w="80" w:type="dxa"/>
              <w:end w:w="120" w:type="dxa"/>
            </w:tcMar>
          </w:tcPr>
          <w:p>
            <w:pPr>
              <w:spacing w:after="0"/>
            </w:pPr>
            <w:r>
              <w:rPr>
                <w:sz w:val="18"/>
              </w:rPr>
              <w:t>Reduce la necesidad de riego cuando parte de la lluvia se considera efectiva.</w:t>
            </w:r>
          </w:p>
        </w:tc>
      </w:tr>
      <w:tr>
        <w:tc>
          <w:tcPr>
            <w:tcW w:type="dxa" w:w="2268"/>
            <w:vAlign w:val="center"/>
            <w:tcMar>
              <w:top w:w="80" w:type="dxa"/>
              <w:start w:w="120" w:type="dxa"/>
              <w:bottom w:w="80" w:type="dxa"/>
              <w:end w:w="120" w:type="dxa"/>
            </w:tcMar>
          </w:tcPr>
          <w:p>
            <w:pPr>
              <w:spacing w:after="0"/>
            </w:pPr>
            <w:r>
              <w:rPr>
                <w:sz w:val="18"/>
              </w:rPr>
              <w:t>ETc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del cultivo; se obtiene multiplicando ET0 por el coeficiente Kc del cultivo y fase.</w:t>
            </w:r>
          </w:p>
        </w:tc>
        <w:tc>
          <w:tcPr>
            <w:tcW w:type="dxa" w:w="2268"/>
            <w:vAlign w:val="center"/>
            <w:tcMar>
              <w:top w:w="80" w:type="dxa"/>
              <w:start w:w="120" w:type="dxa"/>
              <w:bottom w:w="80" w:type="dxa"/>
              <w:end w:w="120" w:type="dxa"/>
            </w:tcMar>
          </w:tcPr>
          <w:p>
            <w:pPr>
              <w:spacing w:after="0"/>
            </w:pPr>
            <w:r>
              <w:rPr>
                <w:sz w:val="18"/>
              </w:rPr>
              <w:t>Representa la demanda hídrica concreta del cultivo seleccionado.</w:t>
            </w:r>
          </w:p>
        </w:tc>
      </w:tr>
      <w:tr>
        <w:tc>
          <w:tcPr>
            <w:tcW w:type="dxa" w:w="2268"/>
            <w:vAlign w:val="center"/>
            <w:tcMar>
              <w:top w:w="80" w:type="dxa"/>
              <w:start w:w="120" w:type="dxa"/>
              <w:bottom w:w="80" w:type="dxa"/>
              <w:end w:w="120" w:type="dxa"/>
            </w:tcMar>
          </w:tcPr>
          <w:p>
            <w:pPr>
              <w:spacing w:after="0"/>
            </w:pPr>
            <w:r>
              <w:rPr>
                <w:sz w:val="18"/>
              </w:rPr>
              <w:t>Plantas estimadas</w:t>
            </w:r>
          </w:p>
        </w:tc>
        <w:tc>
          <w:tcPr>
            <w:tcW w:type="dxa" w:w="2268"/>
            <w:vAlign w:val="center"/>
            <w:tcMar>
              <w:top w:w="80" w:type="dxa"/>
              <w:start w:w="120" w:type="dxa"/>
              <w:bottom w:w="80" w:type="dxa"/>
              <w:end w:w="120" w:type="dxa"/>
            </w:tcMar>
          </w:tcPr>
          <w:p>
            <w:pPr>
              <w:spacing w:after="0"/>
            </w:pPr>
            <w:r>
              <w:rPr>
                <w:sz w:val="18"/>
              </w:rPr>
              <w:t>plantas</w:t>
            </w:r>
          </w:p>
        </w:tc>
        <w:tc>
          <w:tcPr>
            <w:tcW w:type="dxa" w:w="2268"/>
            <w:vAlign w:val="center"/>
            <w:tcMar>
              <w:top w:w="80" w:type="dxa"/>
              <w:start w:w="120" w:type="dxa"/>
              <w:bottom w:w="80" w:type="dxa"/>
              <w:end w:w="120" w:type="dxa"/>
            </w:tcMar>
          </w:tcPr>
          <w:p>
            <w:pPr>
              <w:spacing w:after="0"/>
            </w:pPr>
            <w:r>
              <w:rPr>
                <w:sz w:val="18"/>
              </w:rPr>
              <w:t>Número aproximado de plantas calculado con la superficie y el marco medio del cultivo.</w:t>
            </w:r>
          </w:p>
        </w:tc>
        <w:tc>
          <w:tcPr>
            <w:tcW w:type="dxa" w:w="2268"/>
            <w:vAlign w:val="center"/>
            <w:tcMar>
              <w:top w:w="80" w:type="dxa"/>
              <w:start w:w="120" w:type="dxa"/>
              <w:bottom w:w="80" w:type="dxa"/>
              <w:end w:w="120" w:type="dxa"/>
            </w:tcMar>
          </w:tcPr>
          <w:p>
            <w:pPr>
              <w:spacing w:after="0"/>
            </w:pPr>
            <w:r>
              <w:rPr>
                <w:sz w:val="18"/>
              </w:rPr>
              <w:t>Sirve para expresar el resultado también en litros por planta.</w:t>
            </w:r>
          </w:p>
        </w:tc>
      </w:tr>
      <w:tr>
        <w:tc>
          <w:tcPr>
            <w:tcW w:type="dxa" w:w="2268"/>
            <w:vAlign w:val="center"/>
            <w:tcMar>
              <w:top w:w="80" w:type="dxa"/>
              <w:start w:w="120" w:type="dxa"/>
              <w:bottom w:w="80" w:type="dxa"/>
              <w:end w:w="120" w:type="dxa"/>
            </w:tcMar>
          </w:tcPr>
          <w:p>
            <w:pPr>
              <w:spacing w:after="0"/>
            </w:pPr>
            <w:r>
              <w:rPr>
                <w:sz w:val="18"/>
              </w:rPr>
              <w:t>Riego total ML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Predicción del modelo para el volumen total del periodo.</w:t>
            </w:r>
          </w:p>
        </w:tc>
        <w:tc>
          <w:tcPr>
            <w:tcW w:type="dxa" w:w="2268"/>
            <w:vAlign w:val="center"/>
            <w:tcMar>
              <w:top w:w="80" w:type="dxa"/>
              <w:start w:w="120" w:type="dxa"/>
              <w:bottom w:w="80" w:type="dxa"/>
              <w:end w:w="120" w:type="dxa"/>
            </w:tcMar>
          </w:tcPr>
          <w:p>
            <w:pPr>
              <w:spacing w:after="0"/>
            </w:pPr>
            <w:r>
              <w:rPr>
                <w:sz w:val="18"/>
              </w:rPr>
              <w:t>Permite comparar la salida predictiva con el cálculo agronómico base.</w:t>
            </w:r>
          </w:p>
        </w:tc>
      </w:tr>
      <w:tr>
        <w:tc>
          <w:tcPr>
            <w:tcW w:type="dxa" w:w="2268"/>
            <w:vAlign w:val="center"/>
            <w:tcMar>
              <w:top w:w="80" w:type="dxa"/>
              <w:start w:w="120" w:type="dxa"/>
              <w:bottom w:w="80" w:type="dxa"/>
              <w:end w:w="120" w:type="dxa"/>
            </w:tcMar>
          </w:tcPr>
          <w:p>
            <w:pPr>
              <w:spacing w:after="0"/>
            </w:pPr>
            <w:r>
              <w:rPr>
                <w:sz w:val="18"/>
              </w:rPr>
              <w:t>Riego medio ML</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Predicción media diaria del modelo.</w:t>
            </w:r>
          </w:p>
        </w:tc>
        <w:tc>
          <w:tcPr>
            <w:tcW w:type="dxa" w:w="2268"/>
            <w:vAlign w:val="center"/>
            <w:tcMar>
              <w:top w:w="80" w:type="dxa"/>
              <w:start w:w="120" w:type="dxa"/>
              <w:bottom w:w="80" w:type="dxa"/>
              <w:end w:w="120" w:type="dxa"/>
            </w:tcMar>
          </w:tcPr>
          <w:p>
            <w:pPr>
              <w:spacing w:after="0"/>
            </w:pPr>
            <w:r>
              <w:rPr>
                <w:sz w:val="18"/>
              </w:rPr>
              <w:t>Resume la recomendación ML en una pauta diaria.</w:t>
            </w:r>
          </w:p>
        </w:tc>
      </w:tr>
      <w:tr>
        <w:tc>
          <w:tcPr>
            <w:tcW w:type="dxa" w:w="2268"/>
            <w:vAlign w:val="center"/>
            <w:tcMar>
              <w:top w:w="80" w:type="dxa"/>
              <w:start w:w="120" w:type="dxa"/>
              <w:bottom w:w="80" w:type="dxa"/>
              <w:end w:w="120" w:type="dxa"/>
            </w:tcMar>
          </w:tcPr>
          <w:p>
            <w:pPr>
              <w:spacing w:after="0"/>
            </w:pPr>
            <w:r>
              <w:rPr>
                <w:sz w:val="18"/>
              </w:rPr>
              <w:t>Litros/planta ML</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Predicción media diaria por planta.</w:t>
            </w:r>
          </w:p>
        </w:tc>
        <w:tc>
          <w:tcPr>
            <w:tcW w:type="dxa" w:w="2268"/>
            <w:vAlign w:val="center"/>
            <w:tcMar>
              <w:top w:w="80" w:type="dxa"/>
              <w:start w:w="120" w:type="dxa"/>
              <w:bottom w:w="80" w:type="dxa"/>
              <w:end w:w="120" w:type="dxa"/>
            </w:tcMar>
          </w:tcPr>
          <w:p>
            <w:pPr>
              <w:spacing w:after="0"/>
            </w:pPr>
            <w:r>
              <w:rPr>
                <w:sz w:val="18"/>
              </w:rPr>
              <w:t>Traduce la salida ML a una unidad comprensible para el agricultor.</w:t>
            </w:r>
          </w:p>
        </w:tc>
      </w:tr>
      <w:tr>
        <w:tc>
          <w:tcPr>
            <w:tcW w:type="dxa" w:w="2268"/>
            <w:vAlign w:val="center"/>
            <w:tcMar>
              <w:top w:w="80" w:type="dxa"/>
              <w:start w:w="120" w:type="dxa"/>
              <w:bottom w:w="80" w:type="dxa"/>
              <w:end w:w="120" w:type="dxa"/>
            </w:tcMar>
          </w:tcPr>
          <w:p>
            <w:pPr>
              <w:spacing w:after="0"/>
            </w:pPr>
            <w:r>
              <w:rPr>
                <w:sz w:val="18"/>
              </w:rPr>
              <w:t>Lámina ML</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Lámina media diaria predicha por el modelo.</w:t>
            </w:r>
          </w:p>
        </w:tc>
        <w:tc>
          <w:tcPr>
            <w:tcW w:type="dxa" w:w="2268"/>
            <w:vAlign w:val="center"/>
            <w:tcMar>
              <w:top w:w="80" w:type="dxa"/>
              <w:start w:w="120" w:type="dxa"/>
              <w:bottom w:w="80" w:type="dxa"/>
              <w:end w:w="120" w:type="dxa"/>
            </w:tcMar>
          </w:tcPr>
          <w:p>
            <w:pPr>
              <w:spacing w:after="0"/>
            </w:pPr>
            <w:r>
              <w:rPr>
                <w:sz w:val="18"/>
              </w:rPr>
              <w:t>Expresa la dosis estimada por ML antes de convertirla a litros.</w:t>
            </w:r>
          </w:p>
        </w:tc>
      </w:tr>
    </w:tbl>
    <w:p/>
    <w:p>
      <w:pPr>
        <w:spacing w:after="120"/>
      </w:pPr>
      <w:r>
        <w:t>La diferencia entre ET0 y ETc es clave: ET0 describe la demanda climática general, mientras que ETc ajusta esa demanda al cultivo real mediante Kc. La lámina diaria expresa la dosis en milímetros y el riego medio diario la transforma en litros para la superficie de la parcela.</w:t>
      </w:r>
    </w:p>
    <w:p>
      <w:pPr>
        <w:pStyle w:val="Heading2"/>
      </w:pPr>
      <w:r>
        <w:t>4.6 Resultado del modelo ML</w:t>
      </w:r>
    </w:p>
    <w:p>
      <w:pPr>
        <w:spacing w:after="120"/>
      </w:pPr>
      <w:r>
        <w:t xml:space="preserve">La versión demostrativa actual utiliza un modelo </w:t>
      </w:r>
      <w:r>
        <w:rPr>
          <w:rFonts w:ascii="Consolas" w:hAnsi="Consolas"/>
          <w:sz w:val="18"/>
        </w:rPr>
        <w:t>linear_ridge</w:t>
      </w:r>
      <w:r>
        <w:t xml:space="preserve"> entrenado sobre el CSV semestral de Sevilla Aeropuerto (</w:t>
      </w:r>
      <w:r>
        <w:rPr>
          <w:rFonts w:ascii="Consolas" w:hAnsi="Consolas"/>
          <w:sz w:val="18"/>
        </w:rPr>
        <w:t>2024-01-01</w:t>
      </w:r>
      <w:r>
        <w:t xml:space="preserve"> a </w:t>
      </w:r>
      <w:r>
        <w:rPr>
          <w:rFonts w:ascii="Consolas" w:hAnsi="Consolas"/>
          <w:sz w:val="18"/>
        </w:rPr>
        <w:t>2024-06-30</w:t>
      </w:r>
      <w:r>
        <w:t>). Esta decisión aporta estabilidad en la defensa y permite incluir semanas con lluvia real. El proyecto conserva la posibilidad de entrenar una variante Keras/TensorFlow, pero la demo principal utiliza el modelo ligero versionado por su reproducibilidad.</w:t>
      </w:r>
    </w:p>
    <w:p>
      <w:pPr>
        <w:spacing w:after="120"/>
      </w:pPr>
      <w:r>
        <w:t>El modelo se entrenó con un dataset de 546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0,3164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0,5301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0,9337</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109</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w:t>
      </w:r>
    </w:p>
    <w:p>
      <w:pPr>
        <w:pStyle w:val="Heading2"/>
      </w:pPr>
      <w:r>
        <w:t>4.7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94.522,69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13.503,24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3,86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30,86 L/planta/día</w:t>
            </w:r>
          </w:p>
        </w:tc>
      </w:tr>
    </w:tbl>
    <w:p/>
    <w:p>
      <w:pPr>
        <w:spacing w:after="120"/>
      </w:pPr>
      <w:r>
        <w:t>La diferencia se mantiene dentro de un rango razonable para una capa predictiva entrenada con etiquetas derivadas del motor agronómico. Este comportamiento es útil para validar la integración técnica de ML, pero el salto a un servicio real requiere incorporar datos reales de campo.</w:t>
      </w:r>
    </w:p>
    <w:p>
      <w:pPr>
        <w:pStyle w:val="Heading2"/>
      </w:pPr>
      <w:r>
        <w:t>4.8 Escenario de lluvia y preparación para pronóstico</w:t>
      </w:r>
    </w:p>
    <w:p>
      <w:pPr>
        <w:spacing w:after="120"/>
      </w:pPr>
      <w:r>
        <w:t>Para demostrar que la lluvia reduce el riego, se añadió al CSV local un periodo real con precipitación: Sevilla Aeropuerto del 27/03/2024 al 02/04/2024. En ese escenario se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106,80 mm</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2,72 mm/día</w:t>
            </w:r>
          </w:p>
        </w:tc>
      </w:tr>
      <w:tr>
        <w:tc>
          <w:tcPr>
            <w:tcW w:type="dxa" w:w="4536"/>
            <w:vAlign w:val="center"/>
            <w:tcMar>
              <w:top w:w="80" w:type="dxa"/>
              <w:start w:w="120" w:type="dxa"/>
              <w:bottom w:w="80" w:type="dxa"/>
              <w:end w:w="120" w:type="dxa"/>
            </w:tcMar>
          </w:tcPr>
          <w:p>
            <w:pPr>
              <w:spacing w:after="0"/>
            </w:pPr>
            <w:r>
              <w:rPr>
                <w:sz w:val="18"/>
              </w:rPr>
              <w:t>ETc media</w:t>
            </w:r>
          </w:p>
        </w:tc>
        <w:tc>
          <w:tcPr>
            <w:tcW w:type="dxa" w:w="4536"/>
            <w:vAlign w:val="center"/>
            <w:tcMar>
              <w:top w:w="80" w:type="dxa"/>
              <w:start w:w="120" w:type="dxa"/>
              <w:bottom w:w="80" w:type="dxa"/>
              <w:end w:w="120" w:type="dxa"/>
            </w:tcMar>
          </w:tcPr>
          <w:p>
            <w:pPr>
              <w:spacing w:after="0"/>
            </w:pPr>
            <w:r>
              <w:rPr>
                <w:sz w:val="18"/>
              </w:rPr>
              <w:t>1,91 mm/día</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18.620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2.660 L/día</w:t>
            </w:r>
          </w:p>
        </w:tc>
      </w:tr>
      <w:tr>
        <w:tc>
          <w:tcPr>
            <w:tcW w:type="dxa" w:w="4536"/>
            <w:vAlign w:val="center"/>
            <w:tcMar>
              <w:top w:w="80" w:type="dxa"/>
              <w:start w:w="120" w:type="dxa"/>
              <w:bottom w:w="80" w:type="dxa"/>
              <w:end w:w="120" w:type="dxa"/>
            </w:tcMar>
          </w:tcPr>
          <w:p>
            <w:pPr>
              <w:spacing w:after="0"/>
            </w:pPr>
            <w:r>
              <w:rPr>
                <w:sz w:val="18"/>
              </w:rPr>
              <w:t>Lámina diaria</w:t>
            </w:r>
          </w:p>
        </w:tc>
        <w:tc>
          <w:tcPr>
            <w:tcW w:type="dxa" w:w="4536"/>
            <w:vAlign w:val="center"/>
            <w:tcMar>
              <w:top w:w="80" w:type="dxa"/>
              <w:start w:w="120" w:type="dxa"/>
              <w:bottom w:w="80" w:type="dxa"/>
              <w:end w:w="120" w:type="dxa"/>
            </w:tcMar>
          </w:tcPr>
          <w:p>
            <w:pPr>
              <w:spacing w:after="0"/>
            </w:pPr>
            <w:r>
              <w:rPr>
                <w:sz w:val="18"/>
              </w:rPr>
              <w:t>0,76 mm/día</w:t>
            </w:r>
          </w:p>
        </w:tc>
      </w:tr>
    </w:tbl>
    <w:p/>
    <w:p>
      <w:pPr>
        <w:spacing w:after="120"/>
      </w:pPr>
      <w:r>
        <w:t>Durante los días con lluvia suficiente, el riego recomendado queda en 0 L porque la lluvia efectiva cubre la demanda del cultivo. Este mismo mecanismo sería el que permitiría trabajar con predicciones a siete días, siempre que la fuente meteorológica futura proporcione lluvia prevista y temperaturas diarias con calidad suficiente.</w:t>
      </w:r>
    </w:p>
    <w:p>
      <w:pPr>
        <w:pStyle w:val="Heading2"/>
      </w:pPr>
      <w:r>
        <w:t>4.9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 con 920 estaciones visibles.</w:t>
      </w:r>
    </w:p>
    <w:p>
      <w:pPr>
        <w:pStyle w:val="Heading2"/>
      </w:pPr>
      <w:r>
        <w:t>4.10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 La interfaz permite consultar el inventario nacional de 920 estaciones AEMET; en modo CSV local, el cálculo queda fijado a Sevilla Aeropuerto porque es la estación incluida en el dataset versionado.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Inventario nacional AEMET mediante caché local, con filtro por provincia y nombre.</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 en CSV local se usa Sevilla Aeropuerto.</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resumida y comparable con la recomendación base.</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Descarga de informes en formato Markdown y JSON.</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Descarga de informes.</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4"/>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5"/>
                    <a:stretch>
                      <a:fillRect/>
                    </a:stretch>
                  </pic:blipFill>
                  <pic:spPr>
                    <a:xfrm>
                      <a:off x="0" y="0"/>
                      <a:ext cx="5669280" cy="2551176"/>
                    </a:xfrm>
                    <a:prstGeom prst="rect"/>
                  </pic:spPr>
                </pic:pic>
              </a:graphicData>
            </a:graphic>
          </wp:inline>
        </w:drawing>
      </w:r>
    </w:p>
    <w:p>
      <w:pPr>
        <w:pStyle w:val="Heading2"/>
      </w:pPr>
      <w:r>
        <w:t>4.11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caché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presentar el modelo como un sistema opaco y permite justificar el origen de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técnicamente justificable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Diferenciar recomendación con históricos reales y pronóstico futuro a siete días.</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un modo de pronóstico a siete días cuando exista una fuente meteorológica futura con temperatura diaria y lluvia prevista en milímetros.</w:t>
      </w:r>
    </w:p>
    <w:p>
      <w:pPr>
        <w:pStyle w:val="ListBullet"/>
        <w:spacing w:after="60"/>
      </w:pPr>
      <w:r>
        <w:t>Mostrar avisos de incertidumbre cuando la predicción futura solo proporcione probabilidad de precipitación.</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trazable y reproducible.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caché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trazables.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documentación</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