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Бенчмарк архитектурных задач Platform V: сравнение Spine с кодовыми агентами</w:t>
      </w:r>
    </w:p>
    <w:p>
      <w:pPr>
        <w:jc w:val="center"/>
      </w:pPr>
      <w:r>
        <w:rPr>
          <w:i/>
        </w:rPr>
        <w:t>ПРОМЕЖУТОЧНЫЙ ОТЧЁТ — исследовательский прототип · 13.09.2026</w:t>
      </w:r>
    </w:p>
    <w:p>
      <w:pPr>
        <w:pStyle w:val="Heading1"/>
      </w:pPr>
      <w:r>
        <w:t>1. Резюме</w:t>
      </w:r>
    </w:p>
    <w:p>
      <w:r>
        <w:t>Ячеек в матрице: 972; оценено судьёй: 861; сбоев/нет ответа: 111. Бенчмарк: 24 архитектурные задачи по документации Platform V (СберТech) — от проектирования HA/DR-слоёв данных до комплаенс-маппинга 719-П/683-П/851-П. Каждый ответ оценён независимым LLM-судьёй по рубрикам с цитатами-доказательствами плюс детерминированным слоем проверок.</w:t>
      </w:r>
    </w:p>
    <w:p>
      <w:pPr>
        <w:pStyle w:val="ListBullet"/>
      </w:pPr>
      <w:r>
        <w:t>H1 на текущих данных не подтверждена однозначно: разности против Theseus (+18.3 [+7.5; +29.0]) и Claude Code (-0.5 [-5.9; +5.0]) либо малы, либо их интервалы пересекают ноль.</w:t>
      </w:r>
    </w:p>
    <w:p>
      <w:pPr>
        <w:pStyle w:val="ListBullet"/>
      </w:pPr>
      <w:r>
        <w:t>Вклад спайн-контекста отдельно от харнесса (spine-arch против spine-min): +3.0 балла [-2.1; +8.0] — различие значимо не доказано.</w:t>
      </w:r>
    </w:p>
    <w:p>
      <w:pPr>
        <w:pStyle w:val="ListBullet"/>
      </w:pPr>
      <w:r>
        <w:t>H2 (кастомизация кодовых агентов под архитекторов): Theseus -4.3 [-19.1; +10.4]; Claude Code +1.5 [-4.2; +6.9].</w:t>
      </w:r>
    </w:p>
    <w:p>
      <w:pPr>
        <w:pStyle w:val="ListBullet"/>
      </w:pPr>
      <w:r>
        <w:t>H3 (модель-зависимость эффекта спайна): разность spine-arch против theseus-plain на DeepSeek V4.1 Flash +17.4, на GLM-5.3 Flash +19.1 — эффект устойчив между моделями.</w:t>
      </w:r>
    </w:p>
    <w:p>
      <w:pPr>
        <w:pStyle w:val="Heading1"/>
      </w:pPr>
      <w:r>
        <w:t>2. Методология</w:t>
      </w:r>
    </w:p>
    <w:p>
      <w:r>
        <w:t>Матрица: 24 задачи × условия (Spine со спайн-пакетом и fitness-гейтом; Spine без спайна; Theseus и Claude Code — без кастомизации и с кастомизацией архитектора AGENTS.md/CLAUDE.md; голая модель raw) × модели (DeepSeek V4.1 Flash, V4 Pro, GLM-5.3/5.3 Flash) × повторы. Дизайн, гипотезы H1–H3 и хэши входов зафиксированы в пререгистрации до прогона (benchmarks/platformv-arch-bench/PREREGISTRATION.md, монорепо Spine). Судья анонимизирован: не знает ни условия, ни модели ответа. Итог задачи: total = 100·Σ(wᵢ·sᵢ)/(4·Σwᵢ); любой hard-fail ограничивает итог 39 баллами.</w:t>
      </w:r>
    </w:p>
    <w:p>
      <w:pPr>
        <w:pStyle w:val="Heading1"/>
      </w:pPr>
      <w:r>
        <w:t>3. Покрытие прогона</w:t>
      </w:r>
    </w:p>
    <w:p>
      <w:r>
        <w:t>Отчёт промежуточный: включены только завершённые ячейки. Канал GLM (Z.AI) деградировал в период прогона — ячейки glm частично отсутствуют и будут догнаны повторным прогоном; выводы по ним делать рано.</w:t>
      </w:r>
    </w:p>
    <w:p>
      <w:r>
        <w:t>Модели в данных: дефолт харнесса, DeepSeek V4.1 Flash, DeepSeek V4 Pro, GLM-5.3 Flash, GLM-5.3. Условия: 16.</w:t>
      </w:r>
    </w:p>
    <w:p>
      <w:pPr>
        <w:pStyle w:val="Heading1"/>
      </w:pPr>
      <w:r>
        <w:t>4. Результаты</w:t>
      </w:r>
    </w:p>
    <w:p>
      <w:pPr>
        <w:pStyle w:val="Heading2"/>
      </w:pPr>
      <w:r>
        <w:t>4.1. Итог судьи по условиям и моделям</w:t>
      </w:r>
    </w:p>
    <w:p>
      <w:r>
        <w:t>Обозначения условий: spine-arch — харнесс Spine + спайн-пакет (architecture-spine + CONSTRAINTS.yaml, fitness-гейт); spine-min — тот же харнесс Spine без спайн-пакета, минимальный промпт (изолирует вклад харнесса); spine-arch-think — spine-arch с включённым ризонингом (бюджет 64K); &lt;харнесс&gt;-plain — универсальный кодовый харнесс в заводской конфигурации, без архитектурной кастомизации; &lt;харнесс&gt;-arch — тот же харнесс с arch-кастомизацией под архитекторов; raw-llm — голая модель (одиночный API-вызов).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Среднее (0–100)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SD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 + CLAUDE.md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92.5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±15.7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 + CLAUDE.md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92.1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±6.8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 + CLAUDE.md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95.3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91.9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96.8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±3.9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89.6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±21.5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codewhale-plain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дефолт харнесса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86.2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±9.2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dsh-plain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дефолт харнесса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87.0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±15.6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hermes-plain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дефолт харнесса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91.9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±0.9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kimi-arch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±12.3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kimi-arch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92.8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±13.5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kimi-arch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96.4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±3.9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±9.1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95.7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omp-plain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93.5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openclaw-plain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93.7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±9.3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qwen-plain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91.3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±9.7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Модель без харнесса (raw)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77.0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Модель без харнесса (raw)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83.8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±6.1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Модель без харнесса (raw)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93.5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±6.5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Модель без харнесса (raw)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spine-arch-think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89.5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82.2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±16.0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±17.7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±0.0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(без спайна)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84.4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±15.5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(без спайна)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98.5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±3.3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 + AGENTS.md архитектора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67.3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±42.5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 + AGENTS.md архитектора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72.4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±43.7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72.1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±39.6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75.2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±42.7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32.7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±56.6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0000" cy="29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otal_by_cond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7599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ffects_for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59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561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ask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297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mpleteness_h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2673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4.2. Эффекты (bootstrap 95% CI)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  <w:t>Сравнение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Разность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95% CI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theseus-plain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+18.3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[+7.5; +29.0]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66 vs 57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claude-plain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-0.5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[-5.9; +5.0]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66 vs 64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spine-min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+3.0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[-2.1; +8.0]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66 vs 64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qwen-plain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-0.4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[-5.1; +4.0]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66 vs 48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openclaw-plain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-2.8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[-7.4; +1.6]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66 vs 48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kimi-plain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-4.1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[-8.4; -0.1]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66 vs 68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omp-plain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-2.6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[-7.9; +3.1]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66 vs 48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theseus-arch - theseus-plain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-4.3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[-19.1; +10.4]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60 vs 57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claude-arch - claude-plain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+1.5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[-4.2; +6.9]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54 vs 64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spine-arch-think - spine-arch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+3.4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[-2.3; +8.8]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48 vs 66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spine-arch-think - theseus-plain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+21.7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[+11.0; +32.9]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48 vs 57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spine-arch-think - openclaw-plain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+0.6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[-4.6; +5.2]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48 vs 48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spine-arch-think - claude-plain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+2.9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[-3.0; +8.7]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48 vs 64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spine-arch-think - claude-arch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+1.5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[-4.3; +7.2]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48 vs 54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spine-arch-think - kimi-plain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-0.7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[-5.6; +3.5]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48 vs 68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spine-arch-think - kimi-arch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[-5.3; +4.6]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48 vs 59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theseus-plain | dsf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+17.4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[+6.2; +29.4]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48 vs 48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theseus-plain | glm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+19.1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[-5.5; +50.6]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18 vs 9</w:t>
            </w:r>
          </w:p>
        </w:tc>
      </w:tr>
    </w:tbl>
    <w:p>
      <w:pPr>
        <w:pStyle w:val="Heading1"/>
      </w:pPr>
      <w:r>
        <w:t>5. Интерпретация</w:t>
      </w:r>
    </w:p>
    <w:p>
      <w:r>
        <w:t>H1 на текущих данных не подтверждена однозначно: разности против Theseus (+18.3 [+7.5; +29.0]) и Claude Code (-0.5 [-5.9; +5.0]) либо малы, либо их интервалы пересекают ноль.</w:t>
      </w:r>
    </w:p>
    <w:p>
      <w:r>
        <w:t>Вклад спайн-контекста отдельно от харнесса (spine-arch против spine-min): +3.0 балла [-2.1; +8.0] — различие значимо не доказано.</w:t>
      </w:r>
    </w:p>
    <w:p>
      <w:r>
        <w:t>H2 (кастомизация кодовых агентов под архитекторов): Theseus -4.3 [-19.1; +10.4]; Claude Code +1.5 [-4.2; +6.9].</w:t>
      </w:r>
    </w:p>
    <w:p>
      <w:r>
        <w:t>H3 (модель-зависимость эффекта спайна): разность spine-arch против theseus-plain на DeepSeek V4.1 Flash +17.4, на GLM-5.3 Flash +19.1 — эффект устойчив между моделями.</w:t>
      </w:r>
    </w:p>
    <w:p>
      <w:r>
        <w:t>Интерпретации являются интерпретациями: балл судьи измеряет соответствие рубрикам, а не абсолютную архитектурную правильность. Детерминированный слой (полнота артефактов, regex-детекторы hard-fail) не меряет семантику; LLM-судья может иметь смещения, свойственные модели судьи.</w:t>
      </w:r>
    </w:p>
    <w:p>
      <w:pPr>
        <w:pStyle w:val="Heading1"/>
      </w:pPr>
      <w:r>
        <w:t>6. Ограничения</w:t>
      </w:r>
    </w:p>
    <w:p>
      <w:pPr>
        <w:pStyle w:val="ListBullet"/>
      </w:pPr>
      <w:r>
        <w:t>Промежуточный срез: покрытие ячеек неполное (см. §3); итоговые выводы — только по полной матрице.</w:t>
      </w:r>
    </w:p>
    <w:p>
      <w:pPr>
        <w:pStyle w:val="ListBullet"/>
      </w:pPr>
      <w:r>
        <w:t>Судья glm-5.3 не участвовал как решатель в основной матрице (решатели — flash/pro-тиры), что снижает конфаунд «родного судьи»; тем не менее смещение судьи к своему семейству не исключено.</w:t>
      </w:r>
    </w:p>
    <w:p>
      <w:pPr>
        <w:pStyle w:val="ListBullet"/>
      </w:pPr>
      <w:r>
        <w:t>Два повтора на ячейку ограничивают точность оценки дисперсии; bootstrap CI отражает неопределённость среднего, а не разброс отдельных ответов.</w:t>
      </w:r>
    </w:p>
    <w:p>
      <w:pPr>
        <w:pStyle w:val="ListBullet"/>
      </w:pPr>
      <w:r>
        <w:t>Деградация Z.AI в окне прогона могла сместить выборку glm-ячеек (выжившие ячейки — из «здоровых» окон upstream).</w:t>
      </w:r>
    </w:p>
    <w:p>
      <w:pPr>
        <w:pStyle w:val="Heading1"/>
      </w:pPr>
      <w:r>
        <w:t>Приложение. Состав бенчмарка (24 задачи)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Ячеек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Оценено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CAP-ARCH-001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CMP-ARCH-001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CRX-ARCH-001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CRX-CDC-001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CRX-DR-001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DR-ARCH-001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38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DTM-ARCH-001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DTM-RT-001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OCN-ARCH-001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OCN-HTAP-001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38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PGL-ARCH-002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PGL-ARCH-003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PGL-MIG-001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PGL-OLAP-001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PGL-SEC-001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39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PVH-ARCH-001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39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RDS-ARCH-001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RDS-LOCK-001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SEC-ARCH-001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SGX-ARCH-001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29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SGX-INT-001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29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SYN-ACL-001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29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SYN-ARCH-001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37</w:t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