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Бенчмарк архитектурных задач Platform V: сравнение Spine с кодовыми агентами</w:t>
      </w:r>
    </w:p>
    <w:p>
      <w:pPr>
        <w:jc w:val="center"/>
      </w:pPr>
      <w:r>
        <w:rPr>
          <w:i/>
        </w:rPr>
        <w:t>ОТЧЁТ — исследовательский прототип · 14.09.2026</w:t>
      </w:r>
    </w:p>
    <w:p>
      <w:pPr>
        <w:pStyle w:val="Heading1"/>
      </w:pPr>
      <w:r>
        <w:t>1. Резюме</w:t>
      </w:r>
    </w:p>
    <w:p>
      <w:r>
        <w:t>Ячеек в матрице: 1032; оценено судьёй: 917; 115 ячеек отсутствуют по задокументированным отклонениям (D13/D14/D17 — частичные руки), 18 ячеек восстановлены после дефекта извлечения (D18). Бенчмарк: 24 архитектурные задачи по документации Platform V (СберТех) — от проектирования HA/DR-слоёв данных до комплаенс-маппинга 719-П/683-П/851-П. Каждый ответ оценён независимым LLM-судьёй по рубрикам с цитатами-доказательствами плюс детерминированным слоем проверок.</w:t>
      </w:r>
    </w:p>
    <w:p>
      <w:pPr>
        <w:pStyle w:val="ListBullet"/>
      </w:pPr>
      <w:r>
        <w:t>Эталонная конфигурация Spine — spine-arch-think (харнесс + спайн-пакет + ризонинг модели, бюджет 64K). Все сравнения — по отдельным конфигурациям Spine, а не по среднему между руками.</w:t>
      </w:r>
    </w:p>
    <w:p>
      <w:pPr>
        <w:pStyle w:val="ListBullet"/>
      </w:pPr>
      <w:r>
        <w:t>H1 подтверждена для Spine с ризонингом: spine-arch-think значимо сильнее Theseus (+22.2 [+10.7; +34.3]) и идёт в паритете с лучшими универсалами — Claude Code (+2.4 [-3.7; +8.0]) и Kimi Code (-0.4 [-5.7; +4.5]). При этом на dsf Claude Code и Kimi Code тоже работали с ризонингом (модель ризонит по умолчанию, D21) — паритет здесь это честное «ризонинг против ризонинга». На GLM-5.3 Flash — превосходство над Claude Code на грани значимости (+7.2 [+0.3; +18.5]): 8 общих задач, основную часть эффекта даёт CMP-ARCH-001 (+44.6 при медианном диффе ≈ +2). Без ризонинга (spine-arch): паритет-минус с Claude Code (-2.4 [-8.6; +3.6]) и отставание от Kimi Code (-5.1 [-9.9; -0.5]).</w:t>
      </w:r>
    </w:p>
    <w:p>
      <w:pPr>
        <w:pStyle w:val="ListBullet"/>
      </w:pPr>
      <w:r>
        <w:t>Ризонинг — главный усилитель Spine: премия think над spine-arch +4.7 [-1.1; +10.9] на V4.1 Flash и +12.3 [+3.5; +20.5] на V4 Pro (значимо). Выключать ризонинг у Spine нельзя — без него харнесс теряет преимущество.</w:t>
      </w:r>
    </w:p>
    <w:p>
      <w:pPr>
        <w:pStyle w:val="ListBullet"/>
      </w:pPr>
      <w:r>
        <w:t>Вклад доменного формата (спайн-пакет): spine-arch − spine-min = +5.2 [-1.0; +11.5] на dsf (~+4 пулом по моделям) — слабый плюс поверх голого харнесса.</w:t>
      </w:r>
    </w:p>
    <w:p>
      <w:pPr>
        <w:pStyle w:val="ListBullet"/>
      </w:pPr>
      <w:r>
        <w:t>Отрыва от хороших универсалов нет: Claude Code и Kimi Code закрывают те же задачи на 90+ баллов (по моделям 89.6–96.8) без доменной специализации. Ценность Spine — контур вокруг документа (гейты, трассируемость, handoff), который этот бенчмарк не измеряет.</w:t>
      </w:r>
    </w:p>
    <w:p>
      <w:pPr>
        <w:pStyle w:val="ListBullet"/>
      </w:pPr>
      <w:r>
        <w:t>H2 отклонена на полных руках: кастомизация универсалов под архитекторов эффекта не дала — claude-arch − claude-plain = +0.6 [-2.2; +4.2], kimi-arch − kimi-plain = -0.7 [-4.9; +3.3].</w:t>
      </w:r>
    </w:p>
    <w:p>
      <w:pPr>
        <w:pStyle w:val="ListBullet"/>
      </w:pPr>
      <w:r>
        <w:t>H3 подтверждена: агентный контур важнее выбора харнесса, но это зависит от модели — claude-plain − raw-llm = +14.9 [+10.0; +19.7] на dsf (голая модель 77 против 90+ у большинства харнессов; Theseus — ниже голой модели; эффект суммирует контур и ризонинг — raw на dsf неризонящий алиас deepseek-chat, D21), на GLM-5.3 Flash голая модель почти не проигрывает (93.5, n=4 — осторожно). Эффект любого харнесса нужно мерить на своей целевой модели.</w:t>
      </w:r>
    </w:p>
    <w:p>
      <w:pPr>
        <w:pStyle w:val="ListBullet"/>
      </w:pPr>
      <w:r>
        <w:t>Надёжность — главный риск агентных прогонов: 30–33% ответов Theseus оборваны лимитом ходов; 18 «обрывов» Spine оказались дефектом извлечения, а не модели (D18); связка arch-be × glm-5.3-flash частично несовместима (D14). Пайплайн извлечения ответов нужно проверять прежде, чем судить модель.</w:t>
      </w:r>
    </w:p>
    <w:p>
      <w:pPr>
        <w:pStyle w:val="Heading1"/>
      </w:pPr>
      <w:r>
        <w:t>2. Методология</w:t>
      </w:r>
    </w:p>
    <w:p>
      <w:r>
        <w:t>Матрица: 1032 прогона в 19 условиях × 24 задачи × до 2 повторов × 5 моделей/конфигураций (DeepSeek V4.1 Flash / V4 Pro, GLM-5.3 Flash / 5.3 + свип); завершено генераций 1017, оценено судьёй 917. kimi×glm прогонялся через OpenRouter (та же модель, D17). Дизайн, гипотезы H1–H3 и хэши входов зафиксированы в пререгистрации до прогона (PREREGISTRATION.md + prereg_hashes_v2.txt); все отклонения задокументированы (DEVIATIONS.md, D1–D20). Судья: deepseek-v4-pro, анонимизированные ответы, JSON-вердикт по рубрикам, верификация цитат-доказательств; любой hard-fail ограничивает итог 39 баллами. Итог задачи: total = 100·Σ(wᵢ·sᵢ)/(4·Σwᵢ).</w:t>
      </w:r>
    </w:p>
    <w:p>
      <w:r>
        <w:t>Сравнения ведутся по отдельным конфигурациям Spine (spine-arch, spine-min, spine-arch-think; эталон — spine-arch-think), а не по среднему между руками: руки отвечают на разные вопросы дизайна (вклад формата, вклад ризонинга).</w:t>
      </w:r>
    </w:p>
    <w:p>
      <w:r>
        <w:t>Ризонинг по рукам (перепроверено 2026-09-14 по сессионным журналам и живым API-пробам, D21). На dsf (DeepSeek V4.1 Flash) модель ризонит по умолчанию — reasoning_content в ответе без всяких параметров, отключается только явным thinking:{type:disabled}. Поэтому Claude Code и Kimi Code работали с ризонингом (у claude — thinking-блоки в сессиях до ~200K символов, у kimi — thinkingEffort high/max в wire-журналах), как и qwen, omp, theseus/openclaw (max, D11). Без ризонинга — только spine-arch/spine-min (явный --think off, D10) и raw-llm (неризонящий алиас deepseek-chat); эталонный spine-arch-think — явный --think on (64K). На GLM-5.3 Flash ризонинг включён на стороне модели у всех рук (API Z.AI не позволяет его отключить — HTTP 1210, только effort low/high/max; харнессы effort не задавали, у raw-llm — явно effort=low). На DeepSeek V4 Pro (ризонящая модель по умолчанию) Claude Code, Kimi Code и raw-llm работали с ризонингом; spine-arch — с --think off, spine-arch-think — с --think on (64K).</w:t>
      </w:r>
    </w:p>
    <w:p>
      <w:pPr>
        <w:pStyle w:val="Heading1"/>
      </w:pPr>
      <w:r>
        <w:t>3. Покрытие прогона</w:t>
      </w:r>
    </w:p>
    <w:p>
      <w:r>
        <w:t>Матрица завершена. Отсутствующие 115 ячеек — частичные руки по задокументированным отклонениям: сокращение glm-канала (D13/D17), хронические таймауты arch-be × glm-5.3-flash (D14, 2 ячейки выведены), частичные dsp-руки кастомизированных условий. 18 ячеек с дефектом извлечения восстановлены, а не удалены (D18).</w:t>
      </w:r>
    </w:p>
    <w:p>
      <w:r>
        <w:t>Модели в данных: дефолт харнесса, DeepSeek V4.1 Flash, DeepSeek V4 Pro, GLM-5.3 Flash, GLM-5.3. Условия: 16.</w:t>
      </w:r>
    </w:p>
    <w:p>
      <w:pPr>
        <w:pStyle w:val="Heading1"/>
      </w:pPr>
      <w:r>
        <w:t>4. Результаты</w:t>
      </w:r>
    </w:p>
    <w:p>
      <w:pPr>
        <w:pStyle w:val="Heading2"/>
      </w:pPr>
      <w:r>
        <w:t>4.1. Итог судьи по условиям и моделям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r>
              <w:rPr>
                <w:b/>
                <w:sz w:val="18"/>
              </w:rPr>
              <w:t>Условие</w:t>
            </w:r>
          </w:p>
        </w:tc>
        <w:tc>
          <w:tcPr>
            <w:tcW w:type="dxa" w:w="1994"/>
          </w:tcPr>
          <w:p>
            <w:r>
              <w:rPr>
                <w:b/>
                <w:sz w:val="18"/>
              </w:rPr>
              <w:t>Модель</w:t>
            </w:r>
          </w:p>
        </w:tc>
        <w:tc>
          <w:tcPr>
            <w:tcW w:type="dxa" w:w="1994"/>
          </w:tcPr>
          <w:p>
            <w:r>
              <w:rPr>
                <w:b/>
                <w:sz w:val="18"/>
              </w:rPr>
              <w:t>Среднее (0–100)</w:t>
            </w:r>
          </w:p>
        </w:tc>
        <w:tc>
          <w:tcPr>
            <w:tcW w:type="dxa" w:w="1994"/>
          </w:tcPr>
          <w:p>
            <w:r>
              <w:rPr>
                <w:b/>
                <w:sz w:val="18"/>
              </w:rPr>
              <w:t>SD</w:t>
            </w:r>
          </w:p>
        </w:tc>
        <w:tc>
          <w:tcPr>
            <w:tcW w:type="dxa" w:w="1994"/>
          </w:tcPr>
          <w:p>
            <w:r>
              <w:rPr>
                <w:b/>
                <w:sz w:val="18"/>
              </w:rPr>
              <w:t>n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Claude Code + CLAUDE.md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DeepSeek V4.1 Flash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92.5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±15.7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48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Claude Code + CLAUDE.md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DeepSeek V4 Pro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92.1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±6.8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20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Claude Code + CLAUDE.md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GLM-5.3 Flash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95.3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±4.6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6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Claude Code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DeepSeek V4.1 Flash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91.9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±14.3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48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Claude Code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DeepSeek V4 Pro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96.8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±3.9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24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Claude Code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GLM-5.3 Flash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89.6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±21.5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16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codewhale-plain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дефолт харнесса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86.2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±9.2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2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dsh-plain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дефолт харнесса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87.0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±15.6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2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hermes-plain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дефолт харнесса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91.9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±0.9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2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Kimi Code + AGENTS.md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DeepSeek V4.1 Flash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94.0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±12.3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48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Kimi Code + AGENTS.md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DeepSeek V4 Pro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92.8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±13.5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20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Kimi Code + AGENTS.md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GLM-5.3 Flash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96.4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±3.9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11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Kimi Code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DeepSeek V4.1 Flash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94.7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±9.1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48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Kimi Code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GLM-5.3 Flash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95.7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±4.8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20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pi-coding-agent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DeepSeek V4.1 Flash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93.5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±14.5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48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OpenClaw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DeepSeek V4.1 Flash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93.7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±9.3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48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Qwen Code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DeepSeek V4.1 Flash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91.3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±9.7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48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Модель без харнесса (raw)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DeepSeek V4.1 Flash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77.0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±14.1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48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Модель без харнесса (raw)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DeepSeek V4 Pro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83.8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±6.1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24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Модель без харнесса (raw)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GLM-5.3 Flash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93.5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±6.5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4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Модель без харнесса (raw)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GLM-5.3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94.2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±4.9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3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Spine + спайн-пакет + ризонинг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DeepSeek V4.1 Flash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94.3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±14.7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48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Spine + спайн-пакет + ризонинг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DeepSeek V4 Pro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94.5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±12.3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24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Spine + спайн-пакет + ризонинг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GLM-5.3 Flash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97.2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±3.7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32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Spine + спайн-пакет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DeepSeek V4.1 Flash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89.5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±14.6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48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Spine + спайн-пакет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DeepSeek V4 Pro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82.2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±16.0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24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Spine + спайн-пакет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GLM-5.3 Flash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94.4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±17.7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18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Spine + спайн-пакет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GLM-5.3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100.0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±0.0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Spine (без спайна)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DeepSeek V4.1 Flash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84.4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±15.5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48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Spine (без спайна)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GLM-5.3 Flash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98.5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±3.3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16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Theseus + AGENTS.md архитектора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DeepSeek V4.1 Flash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67.3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±42.5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48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Theseus + AGENTS.md архитектора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GLM-5.3 Flash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72.4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±43.7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12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Theseus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DeepSeek V4.1 Flash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72.1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±39.6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48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Theseus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GLM-5.3 Flash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75.2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±42.7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9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Theseus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GLM-5.3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32.7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±56.6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3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940000" cy="29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total_by_condi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9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940000" cy="583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effects_fores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583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940000" cy="5612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task_heatma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56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940000" cy="297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completeness_hf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9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940000" cy="2673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tim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673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4.2. Эффекты (парность по ячейкам «задача × повтор», bootstrap 95% CI)</w:t>
      </w:r>
    </w:p>
    <w:p>
      <w:r>
        <w:t>Эталон Spine — spine-arch-think; все сравнения — по отдельным конфигурациям Spine, без усреднения рук. Значения совпадают с опубликованными в README (results/effects_paired.json).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rPr>
                <w:b/>
                <w:sz w:val="18"/>
              </w:rPr>
              <w:t>Сравнение</w:t>
            </w:r>
          </w:p>
        </w:tc>
        <w:tc>
          <w:tcPr>
            <w:tcW w:type="dxa" w:w="2493"/>
          </w:tcPr>
          <w:p>
            <w:r>
              <w:rPr>
                <w:b/>
                <w:sz w:val="18"/>
              </w:rPr>
              <w:t>Δ баллов</w:t>
            </w:r>
          </w:p>
        </w:tc>
        <w:tc>
          <w:tcPr>
            <w:tcW w:type="dxa" w:w="2493"/>
          </w:tcPr>
          <w:p>
            <w:r>
              <w:rPr>
                <w:b/>
                <w:sz w:val="18"/>
              </w:rPr>
              <w:t>95% CI</w:t>
            </w:r>
          </w:p>
        </w:tc>
        <w:tc>
          <w:tcPr>
            <w:tcW w:type="dxa" w:w="2493"/>
          </w:tcPr>
          <w:p>
            <w:r>
              <w:rPr>
                <w:b/>
                <w:sz w:val="18"/>
              </w:rPr>
              <w:t>Что это значит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think − theseus-plain (dsf)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+22.2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[+10.7; +34.3]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Spine значимо сильнее Theseus (H1 ✓)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think − claude-plain, фабричный (dsf)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+2.4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[-3.7; +8.0]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премия над фабричным Claude Code (паритет)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think − claude-arch, arch-контекст (dsf)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+1.8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[-4.6; +8.1]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премия над Claude Code с кастомизацией (паритет)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think − kimi-plain (dsf)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-0.4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[-5.7; +4.5]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паритет с Kimi Code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think − kimi-arch (dsf)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+0.3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[-6.0; +6.0]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паритет с Kimi Code + кастомизация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think − spine-arch, без ризонинга (dsf)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+4.7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[-1.1; +10.9]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премия ризонинга на V4.1 Flash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think − spine-arch, без ризонинга (dsp)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+12.3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[+3.5; +20.5]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премия ризонинга на V4 Pro — значима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think − claude-plain (glm)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+7.2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[+0.3; +18.5]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на GLM think выше Claude Code — на грани значимости (8 общих задач, эффект вытягивает CMP-ARCH-001)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think − kimi-plain (glm)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+0.7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[-1.4; +3.0]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на GLM паритет с Kimi Code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think − claude-plain (dsp)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-2.3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[-8.4; +1.6]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на V4 Pro паритет с Claude Code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spine-arch − claude-plain (dsf, без ризонинга)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-2.4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[-8.6; +3.6]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без ризонинга — паритет-минус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spine-arch − kimi-plain (dsf)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-5.1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[-9.9; -0.5]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без ризонинга — отставание от Kimi Code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spine-arch − spine-min (dsf)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+5.2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[-1.0; +11.5]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вклад формата — слабый плюс поверх харнесса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claude-arch − claude-plain (dsf)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+0.6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[-2.2; +4.2]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H2 ✗: кастомизация Claude Code без эффекта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kimi-arch − kimi-plain (dsf)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-0.7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[-4.9; +3.3]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H2 ✗: кастомизация Kimi Code без эффекта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claude-plain − raw-llm (dsf)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+14.9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[+10.0; +19.7]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контур + ризонинг дают +15 над голой моделью (raw — неризонящий алиас, D21)</w:t>
            </w:r>
          </w:p>
        </w:tc>
      </w:tr>
    </w:tbl>
    <w:p>
      <w:pPr>
        <w:pStyle w:val="Heading1"/>
      </w:pPr>
      <w:r>
        <w:t>5. Интерпретация</w:t>
      </w:r>
    </w:p>
    <w:p>
      <w:r>
        <w:t>Эталонная конфигурация Spine — spine-arch-think (харнесс + спайн-пакет + ризонинг модели, бюджет 64K). Все сравнения — по отдельным конфигурациям Spine, а не по среднему между руками.</w:t>
      </w:r>
    </w:p>
    <w:p>
      <w:r>
        <w:t>H1 подтверждена для Spine с ризонингом: spine-arch-think значимо сильнее Theseus (+22.2 [+10.7; +34.3]) и идёт в паритете с лучшими универсалами — Claude Code (+2.4 [-3.7; +8.0]) и Kimi Code (-0.4 [-5.7; +4.5]). При этом на dsf Claude Code и Kimi Code тоже работали с ризонингом (модель ризонит по умолчанию, D21) — паритет здесь это честное «ризонинг против ризонинга». На GLM-5.3 Flash — превосходство над Claude Code на грани значимости (+7.2 [+0.3; +18.5]): 8 общих задач, основную часть эффекта даёт CMP-ARCH-001 (+44.6 при медианном диффе ≈ +2). Без ризонинга (spine-arch): паритет-минус с Claude Code (-2.4 [-8.6; +3.6]) и отставание от Kimi Code (-5.1 [-9.9; -0.5]).</w:t>
      </w:r>
    </w:p>
    <w:p>
      <w:r>
        <w:t>Ризонинг — главный усилитель Spine: премия think над spine-arch +4.7 [-1.1; +10.9] на V4.1 Flash и +12.3 [+3.5; +20.5] на V4 Pro (значимо). Выключать ризонинг у Spine нельзя — без него харнесс теряет преимущество.</w:t>
      </w:r>
    </w:p>
    <w:p>
      <w:r>
        <w:t>Вклад доменного формата (спайн-пакет): spine-arch − spine-min = +5.2 [-1.0; +11.5] на dsf (~+4 пулом по моделям) — слабый плюс поверх голого харнесса.</w:t>
      </w:r>
    </w:p>
    <w:p>
      <w:r>
        <w:t>Отрыва от хороших универсалов нет: Claude Code и Kimi Code закрывают те же задачи на 90+ баллов (по моделям 89.6–96.8) без доменной специализации. Ценность Spine — контур вокруг документа (гейты, трассируемость, handoff), который этот бенчмарк не измеряет.</w:t>
      </w:r>
    </w:p>
    <w:p>
      <w:r>
        <w:t>H2 отклонена на полных руках: кастомизация универсалов под архитекторов эффекта не дала — claude-arch − claude-plain = +0.6 [-2.2; +4.2], kimi-arch − kimi-plain = -0.7 [-4.9; +3.3].</w:t>
      </w:r>
    </w:p>
    <w:p>
      <w:r>
        <w:t>H3 подтверждена: агентный контур важнее выбора харнесса, но это зависит от модели — claude-plain − raw-llm = +14.9 [+10.0; +19.7] на dsf (голая модель 77 против 90+ у большинства харнессов; Theseus — ниже голой модели; эффект суммирует контур и ризонинг — raw на dsf неризонящий алиас deepseek-chat, D21), на GLM-5.3 Flash голая модель почти не проигрывает (93.5, n=4 — осторожно). Эффект любого харнесса нужно мерить на своей целевой модели.</w:t>
      </w:r>
    </w:p>
    <w:p>
      <w:r>
        <w:t>Надёжность — главный риск агентных прогонов: 30–33% ответов Theseus оборваны лимитом ходов; 18 «обрывов» Spine оказались дефектом извлечения, а не модели (D18); связка arch-be × glm-5.3-flash частично несовместима (D14). Пайплайн извлечения ответов нужно проверять прежде, чем судить модель.</w:t>
      </w:r>
    </w:p>
    <w:p>
      <w:r>
        <w:t>Интерпретации являются интерпретациями: балл судьи измеряет соответствие рубрикам, а не абсолютную архитектурную правильность. Детерминированный слой (полнота артефактов, regex-детекторы hard-fail) не меряет семантику; LLM-судья может иметь смещения, свойственные модели судьи.</w:t>
      </w:r>
    </w:p>
    <w:p>
      <w:pPr>
        <w:pStyle w:val="Heading1"/>
      </w:pPr>
      <w:r>
        <w:t>6. Ограничения</w:t>
      </w:r>
    </w:p>
    <w:p>
      <w:pPr>
        <w:pStyle w:val="ListBullet"/>
      </w:pPr>
      <w:r>
        <w:t>Судья одиночный (deepseek-v4-pro) из семейства одного из решателей — смещение декларируется, но не измерено (пул судей отменён по стоимости).</w:t>
      </w:r>
    </w:p>
    <w:p>
      <w:pPr>
        <w:pStyle w:val="ListBullet"/>
      </w:pPr>
      <w:r>
        <w:t>Сравнение dsf↔glm (H3) — на пересечении 8–16 задач; glm53-канал не закрыт.</w:t>
      </w:r>
    </w:p>
    <w:p>
      <w:pPr>
        <w:pStyle w:val="ListBullet"/>
      </w:pPr>
      <w:r>
        <w:t>Превосходство think над Claude Code на glm (+7.2) опирается на 8 общих задач, и основную часть эффекта даёт одна из них (CMP-ARCH-001, +44.6); трактовать как сигнал на грани значимости, а не устойчивый эффект.</w:t>
      </w:r>
    </w:p>
    <w:p>
      <w:pPr>
        <w:pStyle w:val="ListBullet"/>
      </w:pPr>
      <w:r>
        <w:t>2 ячейки выведены из-за хронических таймаутов (D14).</w:t>
      </w:r>
    </w:p>
    <w:p>
      <w:pPr>
        <w:pStyle w:val="ListBullet"/>
      </w:pPr>
      <w:r>
        <w:t>Два повтора на ячейку ограничивают точность оценки дисперсии; bootstrap CI отражает неопределённость среднего, а не разброс отдельных ответов.</w:t>
      </w:r>
    </w:p>
    <w:p>
      <w:pPr>
        <w:pStyle w:val="ListBullet"/>
      </w:pPr>
      <w:r>
        <w:t>Результаты — про режим «один документ на задачу»; они не оценивают многошаговую работу архитектора (гейты, трассировка, handoff) в проде.</w:t>
      </w:r>
    </w:p>
    <w:p>
      <w:pPr>
        <w:pStyle w:val="Heading1"/>
      </w:pPr>
      <w:r>
        <w:t>Приложение. Состав бенчмарка (24 задачи)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  <w:sz w:val="18"/>
              </w:rPr>
              <w:t>Задача</w:t>
            </w:r>
          </w:p>
        </w:tc>
        <w:tc>
          <w:tcPr>
            <w:tcW w:type="dxa" w:w="3324"/>
          </w:tcPr>
          <w:p>
            <w:r>
              <w:rPr>
                <w:b/>
                <w:sz w:val="18"/>
              </w:rPr>
              <w:t>Ячеек</w:t>
            </w:r>
          </w:p>
        </w:tc>
        <w:tc>
          <w:tcPr>
            <w:tcW w:type="dxa" w:w="3324"/>
          </w:tcPr>
          <w:p>
            <w:r>
              <w:rPr>
                <w:b/>
                <w:sz w:val="18"/>
              </w:rPr>
              <w:t>Оценено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CAP-ARCH-001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51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50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CMP-ARCH-001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55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55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CRX-ARCH-001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58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56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CRX-CDC-001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50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46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CRX-DR-001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36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36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DR-ARCH-001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48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41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DTM-ARCH-001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32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32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DTM-RT-001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46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43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OCN-ARCH-001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46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34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OCN-HTAP-001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45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41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PGL-ARCH-001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51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37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PGL-ARCH-002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32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32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PGL-ARCH-003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32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32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PGL-MIG-001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32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32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PGL-OLAP-001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46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34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PGL-SEC-001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46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42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PVH-ARCH-001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46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42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RDS-ARCH-001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46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34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RDS-LOCK-001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32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32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SEC-ARCH-001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46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34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SGX-ARCH-001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46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32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SGX-INT-001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32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30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SYN-ACL-001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32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30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SYN-ARCH-001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46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40</w:t>
            </w:r>
          </w:p>
        </w:tc>
      </w:tr>
    </w:tbl>
    <w:sectPr w:rsidR="00FC693F" w:rsidRPr="0006063C" w:rsidSect="00034616">
      <w:pgSz w:w="12240" w:h="15840"/>
      <w:pgMar w:top="1440" w:right="1134" w:bottom="144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