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120" w:before="0"/>
        <w:jc w:val="center"/>
      </w:pPr>
      <w:r>
        <w:rPr>
          <w:rFonts w:ascii="Arial" w:cs="Arial" w:eastAsia="Arial" w:hAnsi="Arial"/>
          <w:b/>
          <w:bCs/>
          <w:color w:val="1B4F72"/>
          <w:sz w:val="72"/>
          <w:szCs w:val="72"/>
        </w:rPr>
        <w:t xml:space="preserve">REVELA</w:t>
      </w:r>
    </w:p>
    <w:p>
      <w:pPr>
        <w:spacing w:after="80" w:before="0"/>
        <w:jc w:val="center"/>
      </w:pPr>
      <w:r>
        <w:rPr>
          <w:rFonts w:ascii="Arial" w:cs="Arial" w:eastAsia="Arial" w:hAnsi="Arial"/>
          <w:color w:val="2E86C1"/>
          <w:sz w:val="36"/>
          <w:szCs w:val="36"/>
        </w:rPr>
        <w:t xml:space="preserve">AI-Powered Dermatology Training Aid</w:t>
      </w:r>
    </w:p>
    <w:p>
      <w:pPr>
        <w:spacing w:after="400" w:before="0"/>
        <w:jc w:val="center"/>
      </w:pPr>
      <w:r>
        <w:rPr>
          <w:rFonts w:ascii="Arial" w:cs="Arial" w:eastAsia="Arial" w:hAnsi="Arial"/>
          <w:i/>
          <w:iCs/>
          <w:color w:val="666666"/>
          <w:sz w:val="28"/>
          <w:szCs w:val="28"/>
        </w:rPr>
        <w:t xml:space="preserve">Notebook 01 — Data Inspection Report</w:t>
      </w:r>
    </w:p>
    <w:p>
      <w:pPr>
        <w:pBdr>
          <w:bottom w:val="single" w:color="CCCCCC" w:sz="4" w:space="1"/>
        </w:pBdr>
        <w:spacing w:after="120" w:before="120"/>
      </w:pPr>
      <w:r>
        <w:t xml:space="preserve"/>
      </w:r>
    </w:p>
    <w:p>
      <w:pPr>
        <w:spacing w:after="100" w:before="100"/>
      </w:pPr>
      <w:r>
        <w:t xml:space="preserve"/>
      </w:r>
    </w:p>
    <w:p>
      <w:pPr>
        <w:spacing w:after="40" w:before="80"/>
        <w:jc w:val="center"/>
      </w:pPr>
      <w:r>
        <w:rPr>
          <w:rFonts w:ascii="Arial" w:cs="Arial" w:eastAsia="Arial" w:hAnsi="Arial"/>
          <w:b/>
          <w:bCs/>
          <w:color w:val="212121"/>
          <w:sz w:val="24"/>
          <w:szCs w:val="24"/>
        </w:rPr>
        <w:t xml:space="preserve">Dataset: Fitzpatrick17k</w:t>
      </w:r>
    </w:p>
    <w:p>
      <w:pPr>
        <w:spacing w:after="40" w:before="0"/>
        <w:jc w:val="center"/>
      </w:pPr>
      <w:r>
        <w:rPr>
          <w:rFonts w:ascii="Arial" w:cs="Arial" w:eastAsia="Arial" w:hAnsi="Arial"/>
          <w:color w:val="444444"/>
          <w:sz w:val="22"/>
          <w:szCs w:val="22"/>
        </w:rPr>
        <w:t xml:space="preserve">Prepared by: Rehma Aziz</w:t>
      </w:r>
    </w:p>
    <w:p>
      <w:pPr>
        <w:spacing w:after="40" w:before="0"/>
        <w:jc w:val="center"/>
      </w:pPr>
      <w:r>
        <w:rPr>
          <w:rFonts w:ascii="Arial" w:cs="Arial" w:eastAsia="Arial" w:hAnsi="Arial"/>
          <w:color w:val="444444"/>
          <w:sz w:val="22"/>
          <w:szCs w:val="22"/>
        </w:rPr>
        <w:t xml:space="preserve">Bootcamp: AI PM — neuefische / Spiced Academy, Berlin</w:t>
      </w:r>
    </w:p>
    <w:p>
      <w:pPr>
        <w:spacing w:after="40" w:before="0"/>
        <w:jc w:val="center"/>
      </w:pPr>
      <w:r>
        <w:rPr>
          <w:rFonts w:ascii="Arial" w:cs="Arial" w:eastAsia="Arial" w:hAnsi="Arial"/>
          <w:color w:val="444444"/>
          <w:sz w:val="22"/>
          <w:szCs w:val="22"/>
        </w:rPr>
        <w:t xml:space="preserve">May 2026</w:t>
      </w:r>
    </w:p>
    <w:p>
      <w:pPr>
        <w:spacing w:after="100" w:before="100"/>
      </w:pPr>
      <w:r>
        <w:t xml:space="preserve"/>
      </w:r>
    </w:p>
    <w:p>
      <w:r>
        <w:br w:type="page"/>
      </w:r>
    </w:p>
    <w:p>
      <w:pPr>
        <w:pStyle w:val="Heading1"/>
        <w:spacing w:after="120" w:before="360"/>
      </w:pPr>
      <w:r>
        <w:rPr>
          <w:rFonts w:ascii="Arial" w:cs="Arial" w:eastAsia="Arial" w:hAnsi="Arial"/>
          <w:b/>
          <w:bCs/>
          <w:color w:val="1B4F72"/>
          <w:sz w:val="36"/>
          <w:szCs w:val="36"/>
        </w:rPr>
        <w:t xml:space="preserve">1. Purpose of This Notebook</w:t>
      </w:r>
    </w:p>
    <w:p>
      <w:pPr>
        <w:spacing w:after="80" w:before="80"/>
      </w:pPr>
      <w:r>
        <w:rPr>
          <w:rFonts w:ascii="Arial" w:cs="Arial" w:eastAsia="Arial" w:hAnsi="Arial"/>
          <w:sz w:val="22"/>
          <w:szCs w:val="22"/>
        </w:rPr>
        <w:t xml:space="preserve">This notebook is the first step in Revela's data pipeline. Its purpose is to answer three fundamental questions before any model training begins:</w:t>
      </w:r>
    </w:p>
    <w:p>
      <w:pPr>
        <w:spacing w:after="100" w:before="10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Is the Fitzpatrick17k dataset genuine, complete, and usable for Revela's 4-condition classification task?</w:t>
      </w:r>
    </w:p>
    <w:p>
      <w:pPr>
        <w:pStyle w:val="ListParagraph"/>
        <w:numPr>
          <w:ilvl w:val="0"/>
          <w:numId w:val="2"/>
        </w:numPr>
        <w:spacing w:after="40" w:before="40"/>
      </w:pPr>
      <w:r>
        <w:rPr>
          <w:rFonts w:ascii="Arial" w:cs="Arial" w:eastAsia="Arial" w:hAnsi="Arial"/>
          <w:b w:val="false"/>
          <w:bCs w:val="false"/>
          <w:sz w:val="22"/>
          <w:szCs w:val="22"/>
        </w:rPr>
        <w:t xml:space="preserve">Do the images in the local folder match the metadata in the CSV — are they the same dataset?</w:t>
      </w:r>
    </w:p>
    <w:p>
      <w:pPr>
        <w:pStyle w:val="ListParagraph"/>
        <w:numPr>
          <w:ilvl w:val="0"/>
          <w:numId w:val="2"/>
        </w:numPr>
        <w:spacing w:after="40" w:before="40"/>
      </w:pPr>
      <w:r>
        <w:rPr>
          <w:rFonts w:ascii="Arial" w:cs="Arial" w:eastAsia="Arial" w:hAnsi="Arial"/>
          <w:b w:val="false"/>
          <w:bCs w:val="false"/>
          <w:sz w:val="22"/>
          <w:szCs w:val="22"/>
        </w:rPr>
        <w:t xml:space="preserve">Does the dataset contain enough representation across Fitzpatrick skin types I–VI to support Revela's core fairness proposition?</w:t>
      </w:r>
    </w:p>
    <w:p>
      <w:pPr>
        <w:spacing w:after="100" w:before="100"/>
      </w:pPr>
      <w:r>
        <w:t xml:space="preserve"/>
      </w:r>
    </w:p>
    <w:p>
      <w:pPr>
        <w:spacing w:after="80" w:before="80"/>
      </w:pPr>
      <w:r>
        <w:rPr>
          <w:rFonts w:ascii="Arial" w:cs="Arial" w:eastAsia="Arial" w:hAnsi="Arial"/>
          <w:sz w:val="22"/>
          <w:szCs w:val="22"/>
        </w:rPr>
        <w:t xml:space="preserve">These are not optional checks. Revela's entire value proposition rests on the claim that it was trained on skin-tone-diverse data and that it can honestly report performance by skin tone. If the data doesn't support that claim, nothing built on top of it will either.</w:t>
      </w:r>
    </w:p>
    <w:p>
      <w:pPr>
        <w:spacing w:after="100" w:before="100"/>
      </w:pPr>
      <w:r>
        <w:t xml:space="preserve"/>
      </w:r>
    </w:p>
    <w:p>
      <w:pPr>
        <w:pBdr>
          <w:bottom w:val="single" w:color="CCCCCC" w:sz="4" w:space="1"/>
        </w:pBdr>
        <w:spacing w:after="120" w:before="120"/>
      </w:pPr>
      <w:r>
        <w:t xml:space="preserve"/>
      </w:r>
    </w:p>
    <w:p>
      <w:pPr>
        <w:pStyle w:val="Heading1"/>
        <w:spacing w:after="120" w:before="360"/>
      </w:pPr>
      <w:r>
        <w:rPr>
          <w:rFonts w:ascii="Arial" w:cs="Arial" w:eastAsia="Arial" w:hAnsi="Arial"/>
          <w:b/>
          <w:bCs/>
          <w:color w:val="1B4F72"/>
          <w:sz w:val="36"/>
          <w:szCs w:val="36"/>
        </w:rPr>
        <w:t xml:space="preserve">2. Dataset Overview — What We Found</w:t>
      </w:r>
    </w:p>
    <w:p>
      <w:pPr>
        <w:pStyle w:val="Heading2"/>
        <w:spacing w:after="100" w:before="280"/>
      </w:pPr>
      <w:r>
        <w:rPr>
          <w:rFonts w:ascii="Arial" w:cs="Arial" w:eastAsia="Arial" w:hAnsi="Arial"/>
          <w:b/>
          <w:bCs/>
          <w:color w:val="2E86C1"/>
          <w:sz w:val="28"/>
          <w:szCs w:val="28"/>
        </w:rPr>
        <w:t xml:space="preserve">2.1 Basic Structure</w:t>
      </w:r>
    </w:p>
    <w:p>
      <w:pPr>
        <w:spacing w:after="80" w:before="80"/>
      </w:pPr>
      <w:r>
        <w:rPr>
          <w:rFonts w:ascii="Arial" w:cs="Arial" w:eastAsia="Arial" w:hAnsi="Arial"/>
          <w:sz w:val="22"/>
          <w:szCs w:val="22"/>
        </w:rPr>
        <w:t xml:space="preserve">The dataset loaded cleanly with no errors. Here is the structural snapshot: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Total rows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16,577</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8449"/>
                <w:sz w:val="20"/>
                <w:szCs w:val="20"/>
              </w:rPr>
              <w:t xml:space="preserve">✓ As expected</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Total columns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9</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E8449"/>
                <w:sz w:val="20"/>
                <w:szCs w:val="20"/>
              </w:rPr>
              <w:t xml:space="preserve">✓ Complete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Unique conditions (labels)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114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8449"/>
                <w:sz w:val="20"/>
                <w:szCs w:val="20"/>
              </w:rPr>
              <w:t xml:space="preserve">✓ Rich condition set</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Unique image hashes (md5hash)</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16,577</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E8449"/>
                <w:sz w:val="20"/>
                <w:szCs w:val="20"/>
              </w:rPr>
              <w:t xml:space="preserve">✓ Zero duplicates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Images in local folder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16,577</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8449"/>
                <w:sz w:val="20"/>
                <w:szCs w:val="20"/>
              </w:rPr>
              <w:t xml:space="preserve">✓ Perfect match with CSV</w:t>
            </w:r>
          </w:p>
        </w:tc>
      </w:tr>
    </w:tbl>
    <w:p>
      <w:pPr>
        <w:spacing w:after="100" w:before="100"/>
      </w:pPr>
      <w:r>
        <w:t xml:space="preserve"/>
      </w:r>
    </w:p>
    <w:p>
      <w:pPr>
        <w:spacing w:after="80" w:before="80"/>
      </w:pPr>
      <w:r>
        <w:rPr>
          <w:rFonts w:ascii="Arial" w:cs="Arial" w:eastAsia="Arial" w:hAnsi="Arial"/>
          <w:sz w:val="22"/>
          <w:szCs w:val="22"/>
        </w:rPr>
        <w:t xml:space="preserve">The most important finding here is the last row: the number of images in the local folder exactly matches the number of rows in the CSV. This confirms the dataset is complete and that each row in the metadata corresponds to a real image file on disk.</w:t>
      </w:r>
    </w:p>
    <w:p>
      <w:pPr>
        <w:spacing w:after="100" w:before="100"/>
      </w:pPr>
      <w:r>
        <w:t xml:space="preserve"/>
      </w:r>
    </w:p>
    <w:p>
      <w:pPr>
        <w:pStyle w:val="Heading2"/>
        <w:spacing w:after="100" w:before="280"/>
      </w:pPr>
      <w:r>
        <w:rPr>
          <w:rFonts w:ascii="Arial" w:cs="Arial" w:eastAsia="Arial" w:hAnsi="Arial"/>
          <w:b/>
          <w:bCs/>
          <w:color w:val="2E86C1"/>
          <w:sz w:val="28"/>
          <w:szCs w:val="28"/>
        </w:rPr>
        <w:t xml:space="preserve">2.2 Column Reference</w:t>
      </w:r>
    </w:p>
    <w:p>
      <w:pPr>
        <w:spacing w:after="80" w:before="80"/>
      </w:pPr>
      <w:r>
        <w:rPr>
          <w:rFonts w:ascii="Arial" w:cs="Arial" w:eastAsia="Arial" w:hAnsi="Arial"/>
          <w:sz w:val="22"/>
          <w:szCs w:val="22"/>
        </w:rPr>
        <w:t xml:space="preserve">The dataset contains 9 columns. Below is what each one means and whether Revela will use it:</w:t>
      </w:r>
    </w:p>
    <w:p>
      <w:pPr>
        <w:spacing w:after="100" w:before="10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26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c>
          <w:tcPr>
            <w:tcW w:type="dxa" w:w="2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Revela 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md5hash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Unique image identifier — also the filename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 Primary image key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fitzpatrick_scale</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Skin tone rating 1–6 (-1 = unknown)</w:t>
            </w:r>
          </w:p>
        </w:tc>
        <w:tc>
          <w:tcPr>
            <w:tcW w:type="dxa" w:w="2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 Core fairness feature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fitzpatrick_centaur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Alternative skin tone rating method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Secondary reference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label</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Specific condition name (114 unique values)</w:t>
            </w:r>
          </w:p>
        </w:tc>
        <w:tc>
          <w:tcPr>
            <w:tcW w:type="dxa" w:w="2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 Source for condition mapping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nine_partition_label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9-category clinical grouping</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Reference for mapping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three_partition_label</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3-category: benign / malignant / non-neoplastic</w:t>
            </w:r>
          </w:p>
        </w:tc>
        <w:tc>
          <w:tcPr>
            <w:tcW w:type="dxa" w:w="2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 Model architecture guide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qc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Quality control flag (96.9% missing — unused)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 Not used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url</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Original image source URL</w:t>
            </w:r>
          </w:p>
        </w:tc>
        <w:tc>
          <w:tcPr>
            <w:tcW w:type="dxa" w:w="2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Reference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url_alphanum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URL in alphanumeric format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 Not used</w:t>
            </w:r>
          </w:p>
        </w:tc>
      </w:tr>
    </w:tbl>
    <w:p>
      <w:pPr>
        <w:spacing w:after="100" w:before="100"/>
      </w:pPr>
      <w:r>
        <w:t xml:space="preserve"/>
      </w:r>
    </w:p>
    <w:p>
      <w:pPr>
        <w:spacing w:after="80" w:before="80"/>
      </w:pPr>
      <w:r>
        <w:rPr>
          <w:rFonts w:ascii="Arial" w:cs="Arial" w:eastAsia="Arial" w:hAnsi="Arial"/>
          <w:sz w:val="22"/>
          <w:szCs w:val="22"/>
        </w:rPr>
        <w:t xml:space="preserve">Key observation: the qc column is missing for 16,073 of 16,577 rows (96.9%). This column was intended for quality flagging but is effectively unused in this dataset. It will be dropped during cleaning.</w:t>
      </w:r>
    </w:p>
    <w:p>
      <w:pPr>
        <w:spacing w:after="100" w:before="100"/>
      </w:pPr>
      <w:r>
        <w:t xml:space="preserve"/>
      </w:r>
    </w:p>
    <w:p>
      <w:pPr>
        <w:pBdr>
          <w:bottom w:val="single" w:color="CCCCCC" w:sz="4" w:space="1"/>
        </w:pBdr>
        <w:spacing w:after="120" w:before="120"/>
      </w:pPr>
      <w:r>
        <w:t xml:space="preserve"/>
      </w:r>
    </w:p>
    <w:p>
      <w:pPr>
        <w:pStyle w:val="Heading1"/>
        <w:spacing w:after="120" w:before="360"/>
      </w:pPr>
      <w:r>
        <w:rPr>
          <w:rFonts w:ascii="Arial" w:cs="Arial" w:eastAsia="Arial" w:hAnsi="Arial"/>
          <w:b/>
          <w:bCs/>
          <w:color w:val="1B4F72"/>
          <w:sz w:val="36"/>
          <w:szCs w:val="36"/>
        </w:rPr>
        <w:t xml:space="preserve">3. Skin Tone Distribution — The Core Finding</w:t>
      </w:r>
    </w:p>
    <w:p>
      <w:pPr>
        <w:spacing w:after="80" w:before="80"/>
      </w:pPr>
      <w:r>
        <w:rPr>
          <w:rFonts w:ascii="Arial" w:cs="Arial" w:eastAsia="Arial" w:hAnsi="Arial"/>
          <w:sz w:val="22"/>
          <w:szCs w:val="22"/>
        </w:rPr>
        <w:t xml:space="preserve">This is the most important section of the inspection. Revela's entire product story depends on understanding the skin tone distribution of its training data. The findings confirm both the opportunity and the challenge.</w:t>
      </w:r>
    </w:p>
    <w:p>
      <w:pPr>
        <w:spacing w:after="100" w:before="100"/>
      </w:pPr>
      <w:r>
        <w:t xml:space="preserve"/>
      </w:r>
    </w:p>
    <w:p>
      <w:pPr>
        <w:pStyle w:val="Heading2"/>
        <w:spacing w:after="100" w:before="280"/>
      </w:pPr>
      <w:r>
        <w:rPr>
          <w:rFonts w:ascii="Arial" w:cs="Arial" w:eastAsia="Arial" w:hAnsi="Arial"/>
          <w:b/>
          <w:bCs/>
          <w:color w:val="2E86C1"/>
          <w:sz w:val="28"/>
          <w:szCs w:val="28"/>
        </w:rPr>
        <w:t xml:space="preserve">3.1 Distribution Numbers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1200"/>
        <w:gridCol w:w="1960"/>
      </w:tblGrid>
      <w:tr>
        <w:trPr>
          <w:tblHeader/>
        </w:trP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Fitzpatrick Type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Image Count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 of Known</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Visual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FST 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Very light / pale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2,947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18.4%</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FST II</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Light / fair</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4,808</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30.0%</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FST III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Medium light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3,308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20.7%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FST IV</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Medium / olive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2,781</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17.4%</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FST 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Medium dark / brown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1,533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9.6%</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FST VI</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Dark / deep brown</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635</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4.0%</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Unknown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Not rated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565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w:t>
            </w:r>
          </w:p>
        </w:tc>
      </w:tr>
    </w:tbl>
    <w:p>
      <w:pPr>
        <w:spacing w:after="100" w:before="100"/>
      </w:pPr>
      <w:r>
        <w:t xml:space="preserve"/>
      </w:r>
    </w:p>
    <w:p>
      <w:pPr>
        <w:pStyle w:val="Heading2"/>
        <w:spacing w:after="100" w:before="280"/>
      </w:pPr>
      <w:r>
        <w:rPr>
          <w:rFonts w:ascii="Arial" w:cs="Arial" w:eastAsia="Arial" w:hAnsi="Arial"/>
          <w:b/>
          <w:bCs/>
          <w:color w:val="2E86C1"/>
          <w:sz w:val="28"/>
          <w:szCs w:val="28"/>
        </w:rPr>
        <w:t xml:space="preserve">3.2 What This Means for Revela</w:t>
      </w:r>
    </w:p>
    <w:p>
      <w:pPr>
        <w:spacing w:after="80" w:before="80"/>
      </w:pPr>
      <w:r>
        <w:rPr>
          <w:rFonts w:ascii="Arial" w:cs="Arial" w:eastAsia="Arial" w:hAnsi="Arial"/>
          <w:sz w:val="22"/>
          <w:szCs w:val="22"/>
        </w:rPr>
        <w:t xml:space="preserve">The distribution reveals a clear and significant imbalance that directly validates Revela's problem statement:</w:t>
      </w:r>
    </w:p>
    <w:p>
      <w:pPr>
        <w:spacing w:after="100" w:before="100"/>
      </w:pPr>
      <w:r>
        <w:t xml:space="preserve"/>
      </w:r>
    </w:p>
    <w:p>
      <w:pPr>
        <w:pStyle w:val="ListParagraph"/>
        <w:numPr>
          <w:ilvl w:val="0"/>
          <w:numId w:val="2"/>
        </w:numPr>
        <w:spacing w:after="40" w:before="40"/>
      </w:pPr>
      <w:r>
        <w:rPr>
          <w:rFonts w:ascii="Arial" w:cs="Arial" w:eastAsia="Arial" w:hAnsi="Arial"/>
          <w:b/>
          <w:bCs/>
          <w:sz w:val="22"/>
          <w:szCs w:val="22"/>
        </w:rPr>
        <w:t xml:space="preserve">FST II (the most common) has 4,808 images — 7.6x more than FST VI (635 images)</w:t>
      </w:r>
    </w:p>
    <w:p>
      <w:pPr>
        <w:pStyle w:val="ListParagraph"/>
        <w:numPr>
          <w:ilvl w:val="0"/>
          <w:numId w:val="2"/>
        </w:numPr>
        <w:spacing w:after="40" w:before="40"/>
      </w:pPr>
      <w:r>
        <w:rPr>
          <w:rFonts w:ascii="Arial" w:cs="Arial" w:eastAsia="Arial" w:hAnsi="Arial"/>
          <w:b w:val="false"/>
          <w:bCs w:val="false"/>
          <w:sz w:val="22"/>
          <w:szCs w:val="22"/>
        </w:rPr>
        <w:t xml:space="preserve">FST I + II combined account for 48.4% of the entire dataset — nearly half of all images are light skin</w:t>
      </w:r>
    </w:p>
    <w:p>
      <w:pPr>
        <w:pStyle w:val="ListParagraph"/>
        <w:numPr>
          <w:ilvl w:val="0"/>
          <w:numId w:val="2"/>
        </w:numPr>
        <w:spacing w:after="40" w:before="40"/>
      </w:pPr>
      <w:r>
        <w:rPr>
          <w:rFonts w:ascii="Arial" w:cs="Arial" w:eastAsia="Arial" w:hAnsi="Arial"/>
          <w:b w:val="false"/>
          <w:bCs w:val="false"/>
          <w:sz w:val="22"/>
          <w:szCs w:val="22"/>
        </w:rPr>
        <w:t xml:space="preserve">FST V + VI combined account for only 13.6% — one in eight images represents darker skin tones</w:t>
      </w:r>
    </w:p>
    <w:p>
      <w:pPr>
        <w:pStyle w:val="ListParagraph"/>
        <w:numPr>
          <w:ilvl w:val="0"/>
          <w:numId w:val="2"/>
        </w:numPr>
        <w:spacing w:after="40" w:before="40"/>
      </w:pPr>
      <w:r>
        <w:rPr>
          <w:rFonts w:ascii="Arial" w:cs="Arial" w:eastAsia="Arial" w:hAnsi="Arial"/>
          <w:b w:val="false"/>
          <w:bCs w:val="false"/>
          <w:sz w:val="22"/>
          <w:szCs w:val="22"/>
        </w:rPr>
        <w:t xml:space="preserve">565 images have unknown skin tone (-1) — these will be excluded from training and evaluation</w:t>
      </w:r>
    </w:p>
    <w:p>
      <w:pPr>
        <w:spacing w:after="100" w:before="100"/>
      </w:pPr>
      <w:r>
        <w:t xml:space="preserve"/>
      </w:r>
    </w:p>
    <w:p>
      <w:pPr>
        <w:spacing w:after="80" w:before="80"/>
      </w:pPr>
      <w:r>
        <w:rPr>
          <w:rFonts w:ascii="Arial" w:cs="Arial" w:eastAsia="Arial" w:hAnsi="Arial"/>
          <w:sz w:val="22"/>
          <w:szCs w:val="22"/>
        </w:rPr>
        <w:t xml:space="preserve">This is not a flaw in the dataset — it is the reality of available dermatological data, and it is exactly the gap Revela is designed to address. The Guardrail E feature (skin-tone reliability warning) exists precisely because this imbalance will affect model accuracy differentially across skin tones.</w:t>
      </w:r>
    </w:p>
    <w:p>
      <w:pPr>
        <w:spacing w:after="100" w:before="100"/>
      </w:pPr>
      <w:r>
        <w:t xml:space="preserve"/>
      </w:r>
    </w:p>
    <w:p>
      <w:pPr>
        <w:spacing w:after="80" w:before="80"/>
      </w:pPr>
      <w:r>
        <w:rPr>
          <w:rFonts w:ascii="Arial" w:cs="Arial" w:eastAsia="Arial" w:hAnsi="Arial"/>
          <w:i/>
          <w:iCs/>
          <w:color w:val="555555"/>
          <w:sz w:val="22"/>
          <w:szCs w:val="22"/>
        </w:rPr>
        <w:t xml:space="preserve">The distribution chart generated from this data is one of the most important visuals in Revela's demo. It shows, at a glance, why existing dermatology AI fails patients with darker skin — the training data simply does not represent them proportionally.</w:t>
      </w:r>
    </w:p>
    <w:p>
      <w:pPr>
        <w:spacing w:after="100" w:before="100"/>
      </w:pPr>
      <w:r>
        <w:t xml:space="preserve"/>
      </w:r>
    </w:p>
    <w:p>
      <w:pPr>
        <w:pBdr>
          <w:bottom w:val="single" w:color="CCCCCC" w:sz="4" w:space="1"/>
        </w:pBdr>
        <w:spacing w:after="120" w:before="120"/>
      </w:pPr>
      <w:r>
        <w:t xml:space="preserve"/>
      </w:r>
    </w:p>
    <w:p>
      <w:pPr>
        <w:pStyle w:val="Heading1"/>
        <w:spacing w:after="120" w:before="360"/>
      </w:pPr>
      <w:r>
        <w:rPr>
          <w:rFonts w:ascii="Arial" w:cs="Arial" w:eastAsia="Arial" w:hAnsi="Arial"/>
          <w:b/>
          <w:bCs/>
          <w:color w:val="1B4F72"/>
          <w:sz w:val="36"/>
          <w:szCs w:val="36"/>
        </w:rPr>
        <w:t xml:space="preserve">4. Revela's 4 Target Conditions — Availability Check</w:t>
      </w:r>
    </w:p>
    <w:p>
      <w:pPr>
        <w:spacing w:after="80" w:before="80"/>
      </w:pPr>
      <w:r>
        <w:rPr>
          <w:rFonts w:ascii="Arial" w:cs="Arial" w:eastAsia="Arial" w:hAnsi="Arial"/>
          <w:sz w:val="22"/>
          <w:szCs w:val="22"/>
        </w:rPr>
        <w:t xml:space="preserve">Revela's MVP covers 4 skin conditions. Here is the exact data availability for each, including all sub-labels that fall under the target group:</w:t>
      </w:r>
    </w:p>
    <w:p>
      <w:pPr>
        <w:spacing w:after="100" w:before="100"/>
      </w:pPr>
      <w:r>
        <w:t xml:space="preserve"/>
      </w:r>
    </w:p>
    <w:p>
      <w:pPr>
        <w:pStyle w:val="Heading2"/>
        <w:spacing w:after="100" w:before="280"/>
      </w:pPr>
      <w:r>
        <w:rPr>
          <w:rFonts w:ascii="Arial" w:cs="Arial" w:eastAsia="Arial" w:hAnsi="Arial"/>
          <w:b/>
          <w:bCs/>
          <w:color w:val="2E86C1"/>
          <w:sz w:val="28"/>
          <w:szCs w:val="28"/>
        </w:rPr>
        <w:t xml:space="preserve">4.1 Condition Group Summary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400"/>
        <w:gridCol w:w="156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Sub-labels Found</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Total Images</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Viability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Melanoma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melanoma, superficial spreading melanoma, malignant melanoma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490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8449"/>
                <w:sz w:val="20"/>
                <w:szCs w:val="20"/>
              </w:rPr>
              <w:t xml:space="preserve">✓ Viable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12121"/>
                <w:sz w:val="20"/>
                <w:szCs w:val="20"/>
              </w:rPr>
              <w:t xml:space="preserve">Benign Nevus</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nevus sebaceous of jadassohn, epidermal nevus, nevocytic nevus, halo nevus, congenital nevus, becker nevus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485</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E8449"/>
                <w:sz w:val="20"/>
                <w:szCs w:val="20"/>
              </w:rPr>
              <w:t xml:space="preserve">✓ Viable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Eczema / Dermatitis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eczema, dyshidrotic eczema, allergic contact dermatitis, seborrheic dermatitis, acrodermatitis, neurodermatitis, factitial dermatitis, perioral dermatitis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1,131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8449"/>
                <w:sz w:val="20"/>
                <w:szCs w:val="20"/>
              </w:rPr>
              <w:t xml:space="preserve">✓ Strong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12121"/>
                <w:sz w:val="20"/>
                <w:szCs w:val="20"/>
              </w:rPr>
              <w:t xml:space="preserve">Other / Unclear</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All remaining 100+ conditions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~14,471</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E67E22"/>
                <w:sz w:val="20"/>
                <w:szCs w:val="20"/>
              </w:rPr>
              <w:t xml:space="preserve">✓ Will be capped</w:t>
            </w:r>
          </w:p>
        </w:tc>
      </w:tr>
    </w:tbl>
    <w:p>
      <w:pPr>
        <w:spacing w:after="100" w:before="100"/>
      </w:pPr>
      <w:r>
        <w:t xml:space="preserve"/>
      </w:r>
    </w:p>
    <w:p>
      <w:pPr>
        <w:pStyle w:val="Heading2"/>
        <w:spacing w:after="100" w:before="280"/>
      </w:pPr>
      <w:r>
        <w:rPr>
          <w:rFonts w:ascii="Arial" w:cs="Arial" w:eastAsia="Arial" w:hAnsi="Arial"/>
          <w:b/>
          <w:bCs/>
          <w:color w:val="2E86C1"/>
          <w:sz w:val="28"/>
          <w:szCs w:val="28"/>
        </w:rPr>
        <w:t xml:space="preserve">4.2 Detailed Condition Breakdown</w:t>
      </w:r>
    </w:p>
    <w:p>
      <w:pPr>
        <w:spacing w:after="80" w:before="200"/>
      </w:pPr>
      <w:r>
        <w:rPr>
          <w:rFonts w:ascii="Arial" w:cs="Arial" w:eastAsia="Arial" w:hAnsi="Arial"/>
          <w:b/>
          <w:bCs/>
          <w:color w:val="212121"/>
          <w:sz w:val="24"/>
          <w:szCs w:val="24"/>
        </w:rPr>
        <w:t xml:space="preserve">Melanoma Group — 490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Sub-label</w:t>
            </w:r>
          </w:p>
        </w:tc>
        <w:tc>
          <w:tcPr>
            <w:tcW w:type="dxa" w:w="3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melanoma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261</w:t>
            </w:r>
          </w:p>
        </w:tc>
      </w:tr>
      <w:tr>
        <w:tc>
          <w:tcPr>
            <w:tcW w:type="dxa" w:w="5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superficial spreading melanoma (ssm)</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118</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malignant melanoma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111</w:t>
            </w:r>
          </w:p>
        </w:tc>
      </w:tr>
    </w:tbl>
    <w:p>
      <w:pPr>
        <w:spacing w:after="100" w:before="100"/>
      </w:pPr>
      <w:r>
        <w:t xml:space="preserve"/>
      </w:r>
    </w:p>
    <w:p>
      <w:pPr>
        <w:spacing w:after="80" w:before="80"/>
      </w:pPr>
      <w:r>
        <w:rPr>
          <w:rFonts w:ascii="Arial" w:cs="Arial" w:eastAsia="Arial" w:hAnsi="Arial"/>
          <w:sz w:val="22"/>
          <w:szCs w:val="22"/>
        </w:rPr>
        <w:t xml:space="preserve">All three sub-labels will be mapped to the melanoma class. Total: 490 images. This is the smallest named class — class imbalance handling will be required during training.</w:t>
      </w:r>
    </w:p>
    <w:p>
      <w:pPr>
        <w:spacing w:after="100" w:before="100"/>
      </w:pPr>
      <w:r>
        <w:t xml:space="preserve"/>
      </w:r>
    </w:p>
    <w:p>
      <w:pPr>
        <w:spacing w:after="80" w:before="200"/>
      </w:pPr>
      <w:r>
        <w:rPr>
          <w:rFonts w:ascii="Arial" w:cs="Arial" w:eastAsia="Arial" w:hAnsi="Arial"/>
          <w:b/>
          <w:bCs/>
          <w:color w:val="212121"/>
          <w:sz w:val="24"/>
          <w:szCs w:val="24"/>
        </w:rPr>
        <w:t xml:space="preserve">Benign Nevus Group — 485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Sub-label</w:t>
            </w:r>
          </w:p>
        </w:tc>
        <w:tc>
          <w:tcPr>
            <w:tcW w:type="dxa" w:w="3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nevus sebaceous of jadassohn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95</w:t>
            </w:r>
          </w:p>
        </w:tc>
      </w:tr>
      <w:tr>
        <w:tc>
          <w:tcPr>
            <w:tcW w:type="dxa" w:w="5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epidermal nevus</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91</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nevocytic nevus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86</w:t>
            </w:r>
          </w:p>
        </w:tc>
      </w:tr>
      <w:tr>
        <w:tc>
          <w:tcPr>
            <w:tcW w:type="dxa" w:w="5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halo nevus</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82</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congenital nevus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68</w:t>
            </w:r>
          </w:p>
        </w:tc>
      </w:tr>
      <w:tr>
        <w:tc>
          <w:tcPr>
            <w:tcW w:type="dxa" w:w="5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becker nevus</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63</w:t>
            </w:r>
          </w:p>
        </w:tc>
      </w:tr>
    </w:tbl>
    <w:p>
      <w:pPr>
        <w:spacing w:after="100" w:before="100"/>
      </w:pPr>
      <w:r>
        <w:t xml:space="preserve"/>
      </w:r>
    </w:p>
    <w:p>
      <w:pPr>
        <w:spacing w:after="80" w:before="80"/>
      </w:pPr>
      <w:r>
        <w:rPr>
          <w:rFonts w:ascii="Arial" w:cs="Arial" w:eastAsia="Arial" w:hAnsi="Arial"/>
          <w:sz w:val="22"/>
          <w:szCs w:val="22"/>
        </w:rPr>
        <w:t xml:space="preserve">Important note: the nevus types found here are not the classic 'mole' (melanocytic nevus) commonly shown in dermatology AI benchmarks. These are clinically valid nevus subtypes but differ visually from what a resident might expect. This should be documented in the model card.</w:t>
      </w:r>
    </w:p>
    <w:p>
      <w:pPr>
        <w:spacing w:after="100" w:before="100"/>
      </w:pPr>
      <w:r>
        <w:t xml:space="preserve"/>
      </w:r>
    </w:p>
    <w:p>
      <w:pPr>
        <w:spacing w:after="80" w:before="200"/>
      </w:pPr>
      <w:r>
        <w:rPr>
          <w:rFonts w:ascii="Arial" w:cs="Arial" w:eastAsia="Arial" w:hAnsi="Arial"/>
          <w:b/>
          <w:bCs/>
          <w:color w:val="212121"/>
          <w:sz w:val="24"/>
          <w:szCs w:val="24"/>
        </w:rPr>
        <w:t xml:space="preserve">Eczema / Dermatitis Group — 1,131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Sub-label</w:t>
            </w:r>
          </w:p>
        </w:tc>
        <w:tc>
          <w:tcPr>
            <w:tcW w:type="dxa" w:w="3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allergic contact dermatitis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430</w:t>
            </w:r>
          </w:p>
        </w:tc>
      </w:tr>
      <w:tr>
        <w:tc>
          <w:tcPr>
            <w:tcW w:type="dxa" w:w="5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eczema</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204</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seborrheic dermatitis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126</w:t>
            </w:r>
          </w:p>
        </w:tc>
      </w:tr>
      <w:tr>
        <w:tc>
          <w:tcPr>
            <w:tcW w:type="dxa" w:w="5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dyshidrotic eczema</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83</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acrodermatitis enteropathica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92</w:t>
            </w:r>
          </w:p>
        </w:tc>
      </w:tr>
      <w:tr>
        <w:tc>
          <w:tcPr>
            <w:tcW w:type="dxa" w:w="5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neurodermatitis</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69</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factitial dermatitis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66</w:t>
            </w:r>
          </w:p>
        </w:tc>
      </w:tr>
      <w:tr>
        <w:tc>
          <w:tcPr>
            <w:tcW w:type="dxa" w:w="5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perioral dermatitis</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61</w:t>
            </w:r>
          </w:p>
        </w:tc>
      </w:tr>
    </w:tbl>
    <w:p>
      <w:pPr>
        <w:spacing w:after="100" w:before="100"/>
      </w:pPr>
      <w:r>
        <w:t xml:space="preserve"/>
      </w:r>
    </w:p>
    <w:p>
      <w:pPr>
        <w:spacing w:after="80" w:before="80"/>
      </w:pPr>
      <w:r>
        <w:rPr>
          <w:rFonts w:ascii="Arial" w:cs="Arial" w:eastAsia="Arial" w:hAnsi="Arial"/>
          <w:sz w:val="22"/>
          <w:szCs w:val="22"/>
        </w:rPr>
        <w:t xml:space="preserve">This is Revela's largest named class at 1,131 images. The eczema/dermatitis group is clinically meaningful — these are all inflammatory skin conditions with overlapping presentations. Class balancing will be needed to prevent the model from over-predicting this class.</w:t>
      </w:r>
    </w:p>
    <w:p>
      <w:pPr>
        <w:spacing w:after="100" w:before="100"/>
      </w:pPr>
      <w:r>
        <w:t xml:space="preserve"/>
      </w:r>
    </w:p>
    <w:p>
      <w:pPr>
        <w:pBdr>
          <w:bottom w:val="single" w:color="CCCCCC" w:sz="4" w:space="1"/>
        </w:pBdr>
        <w:spacing w:after="120" w:before="120"/>
      </w:pPr>
      <w:r>
        <w:t xml:space="preserve"/>
      </w:r>
    </w:p>
    <w:p>
      <w:pPr>
        <w:pStyle w:val="Heading1"/>
        <w:spacing w:after="120" w:before="360"/>
      </w:pPr>
      <w:r>
        <w:rPr>
          <w:rFonts w:ascii="Arial" w:cs="Arial" w:eastAsia="Arial" w:hAnsi="Arial"/>
          <w:b/>
          <w:bCs/>
          <w:color w:val="1B4F72"/>
          <w:sz w:val="36"/>
          <w:szCs w:val="36"/>
        </w:rPr>
        <w:t xml:space="preserve">5. Data Quality Assessment</w:t>
      </w:r>
    </w:p>
    <w:p>
      <w:pPr>
        <w:pStyle w:val="Heading2"/>
        <w:spacing w:after="100" w:before="280"/>
      </w:pPr>
      <w:r>
        <w:rPr>
          <w:rFonts w:ascii="Arial" w:cs="Arial" w:eastAsia="Arial" w:hAnsi="Arial"/>
          <w:b/>
          <w:bCs/>
          <w:color w:val="2E86C1"/>
          <w:sz w:val="28"/>
          <w:szCs w:val="28"/>
        </w:rPr>
        <w:t xml:space="preserve">5.1 Missing Values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400"/>
        <w:gridCol w:w="28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Missing Count</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Missing %</w:t>
            </w:r>
          </w:p>
        </w:tc>
        <w:tc>
          <w:tcPr>
            <w:tcW w:type="dxa" w:w="2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md5hash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No action needed</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fitzpatrick_scale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0 (565 are -1)</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0% missing</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Exclude -1 rows from training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label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No action needed</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nine_partition_label</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0</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0%</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No action needed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three_partition_label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No action needed</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url</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41</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0.25%</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Drop 41 rows with missing URL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qc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16,073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96.9%</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Drop entire column</w:t>
            </w:r>
          </w:p>
        </w:tc>
      </w:tr>
    </w:tbl>
    <w:p>
      <w:pPr>
        <w:spacing w:after="100" w:before="100"/>
      </w:pPr>
      <w:r>
        <w:t xml:space="preserve"/>
      </w:r>
    </w:p>
    <w:p>
      <w:pPr>
        <w:spacing w:after="80" w:before="80"/>
      </w:pPr>
      <w:r>
        <w:rPr>
          <w:rFonts w:ascii="Arial" w:cs="Arial" w:eastAsia="Arial" w:hAnsi="Arial"/>
          <w:sz w:val="22"/>
          <w:szCs w:val="22"/>
        </w:rPr>
        <w:t xml:space="preserve">Overall data quality is high. The only meaningful missing data is the qc column (which was always incomplete by design) and 41 rows with missing URLs (which will be dropped during cleaning).</w:t>
      </w:r>
    </w:p>
    <w:p>
      <w:pPr>
        <w:spacing w:after="100" w:before="100"/>
      </w:pPr>
      <w:r>
        <w:t xml:space="preserve"/>
      </w:r>
    </w:p>
    <w:p>
      <w:pPr>
        <w:pStyle w:val="Heading2"/>
        <w:spacing w:after="100" w:before="280"/>
      </w:pPr>
      <w:r>
        <w:rPr>
          <w:rFonts w:ascii="Arial" w:cs="Arial" w:eastAsia="Arial" w:hAnsi="Arial"/>
          <w:b/>
          <w:bCs/>
          <w:color w:val="2E86C1"/>
          <w:sz w:val="28"/>
          <w:szCs w:val="28"/>
        </w:rPr>
        <w:t xml:space="preserve">5.2 Duplicates</w:t>
      </w:r>
    </w:p>
    <w:p>
      <w:pPr>
        <w:spacing w:after="80" w:before="80"/>
      </w:pPr>
      <w:r>
        <w:rPr>
          <w:rFonts w:ascii="Arial" w:cs="Arial" w:eastAsia="Arial" w:hAnsi="Arial"/>
          <w:sz w:val="22"/>
          <w:szCs w:val="22"/>
        </w:rPr>
        <w:t xml:space="preserve">Zero duplicate rows detected. The md5hash column has 16,577 unique values matching the 16,577 total rows. This confirms each image appears exactly once in the dataset.</w:t>
      </w:r>
    </w:p>
    <w:p>
      <w:pPr>
        <w:spacing w:after="100" w:before="100"/>
      </w:pPr>
      <w:r>
        <w:t xml:space="preserve"/>
      </w:r>
    </w:p>
    <w:p>
      <w:pPr>
        <w:pStyle w:val="Heading2"/>
        <w:spacing w:after="100" w:before="280"/>
      </w:pPr>
      <w:r>
        <w:rPr>
          <w:rFonts w:ascii="Arial" w:cs="Arial" w:eastAsia="Arial" w:hAnsi="Arial"/>
          <w:b/>
          <w:bCs/>
          <w:color w:val="2E86C1"/>
          <w:sz w:val="28"/>
          <w:szCs w:val="28"/>
        </w:rPr>
        <w:t xml:space="preserve">5.3 Image-to-CSV Match</w:t>
      </w:r>
    </w:p>
    <w:p>
      <w:pPr>
        <w:spacing w:after="80" w:before="80"/>
      </w:pPr>
      <w:r>
        <w:rPr>
          <w:rFonts w:ascii="Arial" w:cs="Arial" w:eastAsia="Arial" w:hAnsi="Arial"/>
          <w:sz w:val="22"/>
          <w:szCs w:val="22"/>
        </w:rPr>
        <w:t xml:space="preserve">The local image folder (finalfitz17k/) contains exactly 16,577 .jpg files — a perfect 1:1 match with the CSV rows. Image filenames follow the format: [md5hash].jpg, which matches the md5hash column in the CSV.</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5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Images in folder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16,577</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Rows in CSV</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16,577</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Match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 Perfect — no missing or extra images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Filename format</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md5hash.jpg (e.g., 8da0ad261c76d6ed8587ad2275664650.jpg)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CSV key column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md5hash (without .jpg extension)</w:t>
            </w:r>
          </w:p>
        </w:tc>
      </w:tr>
    </w:tbl>
    <w:p>
      <w:pPr>
        <w:spacing w:after="100" w:before="100"/>
      </w:pPr>
      <w:r>
        <w:t xml:space="preserve"/>
      </w:r>
    </w:p>
    <w:p>
      <w:pPr>
        <w:pBdr>
          <w:bottom w:val="single" w:color="CCCCCC" w:sz="4" w:space="1"/>
        </w:pBdr>
        <w:spacing w:after="120" w:before="120"/>
      </w:pPr>
      <w:r>
        <w:t xml:space="preserve"/>
      </w:r>
    </w:p>
    <w:p>
      <w:pPr>
        <w:pStyle w:val="Heading1"/>
        <w:spacing w:after="120" w:before="360"/>
      </w:pPr>
      <w:r>
        <w:rPr>
          <w:rFonts w:ascii="Arial" w:cs="Arial" w:eastAsia="Arial" w:hAnsi="Arial"/>
          <w:b/>
          <w:bCs/>
          <w:color w:val="1B4F72"/>
          <w:sz w:val="36"/>
          <w:szCs w:val="36"/>
        </w:rPr>
        <w:t xml:space="preserve">6. Clinical Structure — How Conditions Are Organized</w:t>
      </w:r>
    </w:p>
    <w:p>
      <w:pPr>
        <w:spacing w:after="80" w:before="80"/>
      </w:pPr>
      <w:r>
        <w:rPr>
          <w:rFonts w:ascii="Arial" w:cs="Arial" w:eastAsia="Arial" w:hAnsi="Arial"/>
          <w:sz w:val="22"/>
          <w:szCs w:val="22"/>
        </w:rPr>
        <w:t xml:space="preserve">The dataset organises 114 conditions into two clinical hierarchies that inform how Revela should structure its model:</w:t>
      </w:r>
    </w:p>
    <w:p>
      <w:pPr>
        <w:spacing w:after="100" w:before="100"/>
      </w:pPr>
      <w:r>
        <w:t xml:space="preserve"/>
      </w:r>
    </w:p>
    <w:p>
      <w:pPr>
        <w:pStyle w:val="Heading2"/>
        <w:spacing w:after="100" w:before="280"/>
      </w:pPr>
      <w:r>
        <w:rPr>
          <w:rFonts w:ascii="Arial" w:cs="Arial" w:eastAsia="Arial" w:hAnsi="Arial"/>
          <w:b/>
          <w:bCs/>
          <w:color w:val="2E86C1"/>
          <w:sz w:val="28"/>
          <w:szCs w:val="28"/>
        </w:rPr>
        <w:t xml:space="preserve">6.1 Three-Partition Labels (Broad)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4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Means for Revela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non-neoplastic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12,080 (72.9%)</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Inflammatory conditions — eczema/dermatitis lives here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malignant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2,263 (13.6%)</w:t>
            </w:r>
          </w:p>
        </w:tc>
        <w:tc>
          <w:tcPr>
            <w:tcW w:type="dxa" w:w="4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Cancers — melanoma lives here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benign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2,234 (13.5%)</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Non-cancerous growths — nevus lives here</w:t>
            </w:r>
          </w:p>
        </w:tc>
      </w:tr>
    </w:tbl>
    <w:p>
      <w:pPr>
        <w:spacing w:after="100" w:before="100"/>
      </w:pPr>
      <w:r>
        <w:t xml:space="preserve"/>
      </w:r>
    </w:p>
    <w:p>
      <w:pPr>
        <w:spacing w:after="80" w:before="80"/>
      </w:pPr>
      <w:r>
        <w:rPr>
          <w:rFonts w:ascii="Arial" w:cs="Arial" w:eastAsia="Arial" w:hAnsi="Arial"/>
          <w:sz w:val="22"/>
          <w:szCs w:val="22"/>
        </w:rPr>
        <w:t xml:space="preserve">Implication: the dataset is dominated by non-neoplastic (inflammatory) conditions. This is why the eczema group has 1,131 images while melanoma has only 490. The class imbalance reflects real clinical distribution but will require balancing during training.</w:t>
      </w:r>
    </w:p>
    <w:p>
      <w:pPr>
        <w:spacing w:after="100" w:before="100"/>
      </w:pPr>
      <w:r>
        <w:t xml:space="preserve"/>
      </w:r>
    </w:p>
    <w:p>
      <w:pPr>
        <w:pStyle w:val="Heading2"/>
        <w:spacing w:after="100" w:before="280"/>
      </w:pPr>
      <w:r>
        <w:rPr>
          <w:rFonts w:ascii="Arial" w:cs="Arial" w:eastAsia="Arial" w:hAnsi="Arial"/>
          <w:b/>
          <w:bCs/>
          <w:color w:val="2E86C1"/>
          <w:sz w:val="28"/>
          <w:szCs w:val="28"/>
        </w:rPr>
        <w:t xml:space="preserve">6.2 Nine-Partition Labels (Granular)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Relevance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inflammatory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10,886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Source of eczema/dermatitis class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malignant epidermal</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1,352</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Squamous/basal cell carcinomas — in 'other' class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genodermatoses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1,194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Genetic skin disorders — in 'other' class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benign dermal</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1,067</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Non-melanocyte benign — partial nevus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benign epidermal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931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Surface-layer benign — partial nevus source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malignant melanoma</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573</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Core melanoma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benign melanocyte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236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Melanocyte benign — additional nevus source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malignant cutaneous lymphoma</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182</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'other' class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malignant dermal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156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'other' class</w:t>
            </w:r>
          </w:p>
        </w:tc>
      </w:tr>
    </w:tbl>
    <w:p>
      <w:pPr>
        <w:spacing w:after="100" w:before="100"/>
      </w:pPr>
      <w:r>
        <w:t xml:space="preserve"/>
      </w:r>
    </w:p>
    <w:p>
      <w:pPr>
        <w:pBdr>
          <w:bottom w:val="single" w:color="CCCCCC" w:sz="4" w:space="1"/>
        </w:pBdr>
        <w:spacing w:after="120" w:before="120"/>
      </w:pPr>
      <w:r>
        <w:t xml:space="preserve"/>
      </w:r>
    </w:p>
    <w:p>
      <w:pPr>
        <w:pStyle w:val="Heading1"/>
        <w:spacing w:after="120" w:before="360"/>
      </w:pPr>
      <w:r>
        <w:rPr>
          <w:rFonts w:ascii="Arial" w:cs="Arial" w:eastAsia="Arial" w:hAnsi="Arial"/>
          <w:b/>
          <w:bCs/>
          <w:color w:val="1B4F72"/>
          <w:sz w:val="36"/>
          <w:szCs w:val="36"/>
        </w:rPr>
        <w:t xml:space="preserve">7. Revela Requirements Check</w:t>
      </w:r>
    </w:p>
    <w:p>
      <w:pPr>
        <w:spacing w:after="80" w:before="80"/>
      </w:pPr>
      <w:r>
        <w:rPr>
          <w:rFonts w:ascii="Arial" w:cs="Arial" w:eastAsia="Arial" w:hAnsi="Arial"/>
          <w:sz w:val="22"/>
          <w:szCs w:val="22"/>
        </w:rPr>
        <w:t xml:space="preserve">This section maps the inspection findings directly to the requirements agreed during product scoping. Every requirement is rated against what the data actually supports.</w:t>
      </w:r>
    </w:p>
    <w:p>
      <w:pPr>
        <w:spacing w:after="100" w:before="10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800"/>
        <w:gridCol w:w="1360"/>
      </w:tblGrid>
      <w:tr>
        <w:trPr>
          <w:tblHeader/>
        </w:trP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Finding</w:t>
            </w:r>
          </w:p>
        </w:tc>
        <w:tc>
          <w:tcPr>
            <w:tcW w:type="dxa" w:w="1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4-condition classification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melanoma, nevus, eczema, other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All 4 present with sufficient images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 Met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Minimum images per class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&gt; 300 per class</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Melanoma: 490, Nevus: 485, Eczema: 1,131</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E8449"/>
                <w:sz w:val="20"/>
                <w:szCs w:val="20"/>
              </w:rPr>
              <w:t xml:space="preserve">✓ Met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Skin tone coverage FST I–VI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All 6 types represented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All 6 present (I: 2,947 → VI: 635)</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 Met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Fairness evaluation feasibility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Enough FST V–VI for slice eval</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FST V: 1,533 / FST VI: 635</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E67E22"/>
                <w:sz w:val="20"/>
                <w:szCs w:val="20"/>
              </w:rPr>
              <w:t xml:space="preserve">⚠ Thin at FST VI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Zero duplicates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No duplicate images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0 duplicates confirmed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 Met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Image-CSV integrity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Every CSV row has an image</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16,577 images = 16,577 rows</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E8449"/>
                <w:sz w:val="20"/>
                <w:szCs w:val="20"/>
              </w:rPr>
              <w:t xml:space="preserve">✓ Met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GDPR-aware handling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No PII in metadata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No patient names/IDs in any column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 Met</w:t>
            </w:r>
          </w:p>
        </w:tc>
      </w:tr>
    </w:tbl>
    <w:p>
      <w:pPr>
        <w:spacing w:after="100" w:before="100"/>
      </w:pPr>
      <w:r>
        <w:t xml:space="preserve"/>
      </w:r>
    </w:p>
    <w:p>
      <w:pPr>
        <w:spacing w:after="80" w:before="80"/>
      </w:pPr>
      <w:r>
        <w:rPr>
          <w:rFonts w:ascii="Arial" w:cs="Arial" w:eastAsia="Arial" w:hAnsi="Arial"/>
          <w:color w:val="7D6608"/>
          <w:sz w:val="22"/>
          <w:szCs w:val="22"/>
        </w:rPr>
        <w:t xml:space="preserve">The one amber flag — FST VI (635 images) — is the most important finding for Guardrail E. With only 635 images across all conditions at the darkest skin tone, the per-condition FST VI slice may be very small (potentially under 50 images for melanoma). This will result in high uncertainty in FST VI accuracy estimates and must be communicated clearly in the reliability warning.</w:t>
      </w:r>
    </w:p>
    <w:p>
      <w:pPr>
        <w:spacing w:after="100" w:before="100"/>
      </w:pPr>
      <w:r>
        <w:t xml:space="preserve"/>
      </w:r>
    </w:p>
    <w:p>
      <w:pPr>
        <w:pBdr>
          <w:bottom w:val="single" w:color="CCCCCC" w:sz="4" w:space="1"/>
        </w:pBdr>
        <w:spacing w:after="120" w:before="120"/>
      </w:pPr>
      <w:r>
        <w:t xml:space="preserve"/>
      </w:r>
    </w:p>
    <w:p>
      <w:pPr>
        <w:pStyle w:val="Heading1"/>
        <w:spacing w:after="120" w:before="360"/>
      </w:pPr>
      <w:r>
        <w:rPr>
          <w:rFonts w:ascii="Arial" w:cs="Arial" w:eastAsia="Arial" w:hAnsi="Arial"/>
          <w:b/>
          <w:bCs/>
          <w:color w:val="1B4F72"/>
          <w:sz w:val="36"/>
          <w:szCs w:val="36"/>
        </w:rPr>
        <w:t xml:space="preserve">8. Risks and Flags for Next Steps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3000"/>
        <w:gridCol w:w="33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FST VI underrepresentation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Only 635 images across all 114 conditions. Per-condition FST VI slice may be &lt; 50 images.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Flag in model card. Use SCIN as supplementary eval. Widen warning threshold.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Nevus type mismatch</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MEDIUM</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Nevus sub-labels (sebaceous, epidermal, halo) differ from classic melanocytic nevus. Residents may not recognise them.</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Document in labeling decisions. Consider narrowing to nevocytic nevus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Eczema class dominance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Eczema group has 1,131 images vs 490 for melanoma. Model may over-predict eczema.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Apply class weights or undersampling during training.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41 rows missing URL</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LOW</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41 images have no source URL. Images exist locally — only URL is missing.</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Drop URL column for training. Images are still usable.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qc column near-empty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96.9% missing — originally intended for quality filtering.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Drop column entirely in cleaning step.</w:t>
            </w:r>
          </w:p>
        </w:tc>
      </w:tr>
    </w:tbl>
    <w:p>
      <w:pPr>
        <w:spacing w:after="100" w:before="100"/>
      </w:pPr>
      <w:r>
        <w:t xml:space="preserve"/>
      </w:r>
    </w:p>
    <w:p>
      <w:pPr>
        <w:pBdr>
          <w:bottom w:val="single" w:color="CCCCCC" w:sz="4" w:space="1"/>
        </w:pBdr>
        <w:spacing w:after="120" w:before="120"/>
      </w:pPr>
      <w:r>
        <w:t xml:space="preserve"/>
      </w:r>
    </w:p>
    <w:p>
      <w:pPr>
        <w:pStyle w:val="Heading1"/>
        <w:spacing w:after="120" w:before="360"/>
      </w:pPr>
      <w:r>
        <w:rPr>
          <w:rFonts w:ascii="Arial" w:cs="Arial" w:eastAsia="Arial" w:hAnsi="Arial"/>
          <w:b/>
          <w:bCs/>
          <w:color w:val="1B4F72"/>
          <w:sz w:val="36"/>
          <w:szCs w:val="36"/>
        </w:rPr>
        <w:t xml:space="preserve">9. Next Steps — What Comes After This Notebook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Notebook</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02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EDA (Exploratory Data Analysis)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Visualise skin tone distribution, condition counts, fairness gap charts. Produce the demo visuals.</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03</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Label Mapping &amp; Condition Filtering</w:t>
            </w:r>
          </w:p>
        </w:tc>
        <w:tc>
          <w:tcPr>
            <w:tcW w:type="dxa" w:w="5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Build the 4-class mapping, filter dataset to target conditions, cap 'other' class.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04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Data Cleaning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Remove unknown skin tones, drop qc column, handle 41 missing URLs, de-duplicate.</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05</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Dataset Export</w:t>
            </w:r>
          </w:p>
        </w:tc>
        <w:tc>
          <w:tcPr>
            <w:tcW w:type="dxa" w:w="5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Save revela_labeled.csv — the clean, labeled, ready-to-train dataset.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06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Model Training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212121"/>
                <w:sz w:val="20"/>
                <w:szCs w:val="20"/>
              </w:rPr>
              <w:t xml:space="preserve">Train CNN on 4 conditions with class balancing. Evaluate with per-FST slice analysis.</w:t>
            </w:r>
          </w:p>
        </w:tc>
      </w:tr>
    </w:tbl>
    <w:p>
      <w:pPr>
        <w:spacing w:after="100" w:before="100"/>
      </w:pPr>
      <w:r>
        <w:t xml:space="preserve"/>
      </w:r>
    </w:p>
    <w:p>
      <w:pPr>
        <w:spacing w:after="80" w:before="80"/>
      </w:pPr>
      <w:r>
        <w:rPr>
          <w:rFonts w:ascii="Arial" w:cs="Arial" w:eastAsia="Arial" w:hAnsi="Arial"/>
          <w:b/>
          <w:bCs/>
          <w:sz w:val="22"/>
          <w:szCs w:val="22"/>
        </w:rPr>
        <w:t xml:space="preserve">The inspection notebook (this document) is complete. All 8 blocks passed without errors. The dataset is genuine, complete, and structurally sound. We are ready to proceed to Step 2 — EDA.</w:t>
      </w:r>
    </w:p>
    <w:p>
      <w:pPr>
        <w:spacing w:after="100" w:before="100"/>
      </w:pPr>
      <w:r>
        <w:t xml:space="preserve"/>
      </w:r>
    </w:p>
    <w:p>
      <w:pPr>
        <w:pBdr>
          <w:bottom w:val="single" w:color="CCCCCC" w:sz="4" w:space="1"/>
        </w:pBdr>
        <w:spacing w:after="120" w:before="120"/>
      </w:pPr>
      <w:r>
        <w:t xml:space="preserve"/>
      </w:r>
    </w:p>
    <w:p>
      <w:pPr>
        <w:pStyle w:val="Heading1"/>
        <w:spacing w:after="120" w:before="360"/>
      </w:pPr>
      <w:r>
        <w:rPr>
          <w:rFonts w:ascii="Arial" w:cs="Arial" w:eastAsia="Arial" w:hAnsi="Arial"/>
          <w:b/>
          <w:bCs/>
          <w:color w:val="1B4F72"/>
          <w:sz w:val="36"/>
          <w:szCs w:val="36"/>
        </w:rPr>
        <w:t xml:space="preserve">10. Notebook Summary Cell</w:t>
      </w:r>
    </w:p>
    <w:p>
      <w:pPr>
        <w:spacing w:after="80" w:before="80"/>
      </w:pPr>
      <w:r>
        <w:rPr>
          <w:rFonts w:ascii="Arial" w:cs="Arial" w:eastAsia="Arial" w:hAnsi="Arial"/>
          <w:sz w:val="22"/>
          <w:szCs w:val="22"/>
        </w:rPr>
        <w:t xml:space="preserve">Add this as the final markdown cell in 01_inspect_FP.ipynb:</w:t>
      </w:r>
    </w:p>
    <w:p>
      <w:pPr>
        <w:spacing w:after="100" w:before="100"/>
      </w:pPr>
      <w:r>
        <w:t xml:space="preserve"/>
      </w:r>
    </w:p>
    <w:p>
      <w:pPr>
        <w:pBdr>
          <w:top w:val="single" w:color="2E86C1" w:sz="4"/>
          <w:bottom w:val="single" w:color="2E86C1" w:sz="4"/>
          <w:left w:val="single" w:color="2E86C1" w:sz="12"/>
          <w:right w:val="single" w:color="2E86C1" w:sz="4"/>
        </w:pBdr>
        <w:shd w:fill="F4F6F7" w:val="clear"/>
        <w:spacing w:after="80" w:before="80"/>
      </w:pPr>
      <w:r>
        <w:rPr>
          <w:rFonts w:ascii="Courier New" w:cs="Courier New" w:eastAsia="Courier New" w:hAnsi="Courier New"/>
          <w:b/>
          <w:bCs/>
          <w:color w:val="2E86C1"/>
          <w:sz w:val="22"/>
          <w:szCs w:val="22"/>
        </w:rPr>
        <w:t xml:space="preserve">NOTEBOOK SUMMARY — Paste into 01_inspect_FP.ipynb as final markdown cell</w:t>
      </w:r>
    </w:p>
    <w:p>
      <w:pPr>
        <w:spacing w:after="100" w:before="100"/>
      </w:pPr>
      <w:r>
        <w:t xml:space="preserve"/>
      </w:r>
    </w:p>
    <w:p>
      <w:pPr>
        <w:spacing w:after="80" w:before="80"/>
      </w:pPr>
      <w:r>
        <w:rPr>
          <w:rFonts w:ascii="Courier New" w:cs="Courier New" w:eastAsia="Courier New" w:hAnsi="Courier New"/>
          <w:b/>
          <w:bCs/>
          <w:sz w:val="20"/>
          <w:szCs w:val="20"/>
        </w:rPr>
        <w:t xml:space="preserve">## Notebook 01 — Inspection Summary</w:t>
      </w:r>
    </w:p>
    <w:p>
      <w:pPr>
        <w:spacing w:after="80" w:before="80"/>
      </w:pPr>
      <w:r>
        <w:rPr>
          <w:rFonts w:ascii="Courier New" w:cs="Courier New" w:eastAsia="Courier New" w:hAnsi="Courier New"/>
          <w:sz w:val="20"/>
          <w:szCs w:val="20"/>
        </w:rPr>
        <w:t xml:space="preserve">**Dataset:** Fitzpatrick17k | **Status:** ✅ Inspection Complete</w:t>
      </w:r>
    </w:p>
    <w:p>
      <w:pPr>
        <w:spacing w:after="100" w:before="100"/>
      </w:pPr>
      <w:r>
        <w:t xml:space="preserve"/>
      </w:r>
    </w:p>
    <w:p>
      <w:pPr>
        <w:spacing w:after="80" w:before="80"/>
      </w:pPr>
      <w:r>
        <w:rPr>
          <w:rFonts w:ascii="Courier New" w:cs="Courier New" w:eastAsia="Courier New" w:hAnsi="Courier New"/>
          <w:b/>
          <w:bCs/>
          <w:sz w:val="20"/>
          <w:szCs w:val="20"/>
        </w:rPr>
        <w:t xml:space="preserve">### What We Found</w:t>
      </w:r>
    </w:p>
    <w:p>
      <w:pPr>
        <w:spacing w:after="80" w:before="80"/>
      </w:pPr>
      <w:r>
        <w:rPr>
          <w:rFonts w:ascii="Courier New" w:cs="Courier New" w:eastAsia="Courier New" w:hAnsi="Courier New"/>
          <w:sz w:val="18"/>
          <w:szCs w:val="18"/>
        </w:rPr>
        <w:t xml:space="preserve">| Check | Result |</w:t>
      </w:r>
    </w:p>
    <w:p>
      <w:pPr>
        <w:spacing w:after="80" w:before="80"/>
      </w:pPr>
      <w:r>
        <w:rPr>
          <w:rFonts w:ascii="Courier New" w:cs="Courier New" w:eastAsia="Courier New" w:hAnsi="Courier New"/>
          <w:sz w:val="18"/>
          <w:szCs w:val="18"/>
        </w:rPr>
        <w:t xml:space="preserve">| Total rows | 16,577 ✅ |</w:t>
      </w:r>
    </w:p>
    <w:p>
      <w:pPr>
        <w:spacing w:after="80" w:before="80"/>
      </w:pPr>
      <w:r>
        <w:rPr>
          <w:rFonts w:ascii="Courier New" w:cs="Courier New" w:eastAsia="Courier New" w:hAnsi="Courier New"/>
          <w:sz w:val="18"/>
          <w:szCs w:val="18"/>
        </w:rPr>
        <w:t xml:space="preserve">| Images in folder | 16,577 ✅ (perfect match) |</w:t>
      </w:r>
    </w:p>
    <w:p>
      <w:pPr>
        <w:spacing w:after="80" w:before="80"/>
      </w:pPr>
      <w:r>
        <w:rPr>
          <w:rFonts w:ascii="Courier New" w:cs="Courier New" w:eastAsia="Courier New" w:hAnsi="Courier New"/>
          <w:sz w:val="18"/>
          <w:szCs w:val="18"/>
        </w:rPr>
        <w:t xml:space="preserve">| Zero duplicates | Confirmed ✅ |</w:t>
      </w:r>
    </w:p>
    <w:p>
      <w:pPr>
        <w:spacing w:after="80" w:before="80"/>
      </w:pPr>
      <w:r>
        <w:rPr>
          <w:rFonts w:ascii="Courier New" w:cs="Courier New" w:eastAsia="Courier New" w:hAnsi="Courier New"/>
          <w:sz w:val="18"/>
          <w:szCs w:val="18"/>
        </w:rPr>
        <w:t xml:space="preserve">| Missing critical data | None ✅ |</w:t>
      </w:r>
    </w:p>
    <w:p>
      <w:pPr>
        <w:spacing w:after="80" w:before="80"/>
      </w:pPr>
      <w:r>
        <w:rPr>
          <w:rFonts w:ascii="Courier New" w:cs="Courier New" w:eastAsia="Courier New" w:hAnsi="Courier New"/>
          <w:sz w:val="18"/>
          <w:szCs w:val="18"/>
        </w:rPr>
        <w:t xml:space="preserve">| Skin tones I–VI | All present ✅ |</w:t>
      </w:r>
    </w:p>
    <w:p>
      <w:pPr>
        <w:spacing w:after="100" w:before="100"/>
      </w:pPr>
      <w:r>
        <w:t xml:space="preserve"/>
      </w:r>
    </w:p>
    <w:p>
      <w:pPr>
        <w:spacing w:after="80" w:before="80"/>
      </w:pPr>
      <w:r>
        <w:rPr>
          <w:rFonts w:ascii="Courier New" w:cs="Courier New" w:eastAsia="Courier New" w:hAnsi="Courier New"/>
          <w:b/>
          <w:bCs/>
          <w:sz w:val="20"/>
          <w:szCs w:val="20"/>
        </w:rPr>
        <w:t xml:space="preserve">### Target Condition Availability</w:t>
      </w:r>
    </w:p>
    <w:p>
      <w:pPr>
        <w:spacing w:after="80" w:before="80"/>
      </w:pPr>
      <w:r>
        <w:rPr>
          <w:rFonts w:ascii="Courier New" w:cs="Courier New" w:eastAsia="Courier New" w:hAnsi="Courier New"/>
          <w:sz w:val="18"/>
          <w:szCs w:val="18"/>
        </w:rPr>
        <w:t xml:space="preserve">| Condition | Images | Status |</w:t>
      </w:r>
    </w:p>
    <w:p>
      <w:pPr>
        <w:spacing w:after="80" w:before="80"/>
      </w:pPr>
      <w:r>
        <w:rPr>
          <w:rFonts w:ascii="Courier New" w:cs="Courier New" w:eastAsia="Courier New" w:hAnsi="Courier New"/>
          <w:sz w:val="18"/>
          <w:szCs w:val="18"/>
        </w:rPr>
        <w:t xml:space="preserve">| Melanoma | 490 | ✅ Viable |</w:t>
      </w:r>
    </w:p>
    <w:p>
      <w:pPr>
        <w:spacing w:after="80" w:before="80"/>
      </w:pPr>
      <w:r>
        <w:rPr>
          <w:rFonts w:ascii="Courier New" w:cs="Courier New" w:eastAsia="Courier New" w:hAnsi="Courier New"/>
          <w:sz w:val="18"/>
          <w:szCs w:val="18"/>
        </w:rPr>
        <w:t xml:space="preserve">| Benign Nevus | 485 | ✅ Viable |</w:t>
      </w:r>
    </w:p>
    <w:p>
      <w:pPr>
        <w:spacing w:after="80" w:before="80"/>
      </w:pPr>
      <w:r>
        <w:rPr>
          <w:rFonts w:ascii="Courier New" w:cs="Courier New" w:eastAsia="Courier New" w:hAnsi="Courier New"/>
          <w:sz w:val="18"/>
          <w:szCs w:val="18"/>
        </w:rPr>
        <w:t xml:space="preserve">| Eczema/Dermatitis | 1,131 | ✅ Strong |</w:t>
      </w:r>
    </w:p>
    <w:p>
      <w:pPr>
        <w:spacing w:after="80" w:before="80"/>
      </w:pPr>
      <w:r>
        <w:rPr>
          <w:rFonts w:ascii="Courier New" w:cs="Courier New" w:eastAsia="Courier New" w:hAnsi="Courier New"/>
          <w:sz w:val="18"/>
          <w:szCs w:val="18"/>
        </w:rPr>
        <w:t xml:space="preserve">| Other (capped) | ~14,471 | ✅ Will be capped in cleaning |</w:t>
      </w:r>
    </w:p>
    <w:p>
      <w:pPr>
        <w:spacing w:after="100" w:before="100"/>
      </w:pPr>
      <w:r>
        <w:t xml:space="preserve"/>
      </w:r>
    </w:p>
    <w:p>
      <w:pPr>
        <w:spacing w:after="80" w:before="80"/>
      </w:pPr>
      <w:r>
        <w:rPr>
          <w:rFonts w:ascii="Courier New" w:cs="Courier New" w:eastAsia="Courier New" w:hAnsi="Courier New"/>
          <w:b/>
          <w:bCs/>
          <w:sz w:val="20"/>
          <w:szCs w:val="20"/>
        </w:rPr>
        <w:t xml:space="preserve">### Key Risk to Track</w:t>
      </w:r>
    </w:p>
    <w:p>
      <w:pPr>
        <w:spacing w:after="80" w:before="80"/>
      </w:pPr>
      <w:r>
        <w:rPr>
          <w:rFonts w:ascii="Courier New" w:cs="Courier New" w:eastAsia="Courier New" w:hAnsi="Courier New"/>
          <w:sz w:val="18"/>
          <w:szCs w:val="18"/>
        </w:rPr>
        <w:t xml:space="preserve">FST VI has only 635 images across all 114 conditions. Per-condition FST VI slices will be small — this directly affects reliability of Guardrail E warnings. Flag in model card.</w:t>
      </w:r>
    </w:p>
    <w:p>
      <w:pPr>
        <w:spacing w:after="100" w:before="100"/>
      </w:pPr>
      <w:r>
        <w:t xml:space="preserve"/>
      </w:r>
    </w:p>
    <w:p>
      <w:pPr>
        <w:spacing w:after="80" w:before="80"/>
      </w:pPr>
      <w:r>
        <w:rPr>
          <w:rFonts w:ascii="Courier New" w:cs="Courier New" w:eastAsia="Courier New" w:hAnsi="Courier New"/>
          <w:b/>
          <w:bCs/>
          <w:sz w:val="20"/>
          <w:szCs w:val="20"/>
        </w:rPr>
        <w:t xml:space="preserve">### Next Notebook</w:t>
      </w:r>
    </w:p>
    <w:p>
      <w:pPr>
        <w:spacing w:after="80" w:before="80"/>
      </w:pPr>
      <w:r>
        <w:rPr>
          <w:rFonts w:ascii="Courier New" w:cs="Courier New" w:eastAsia="Courier New" w:hAnsi="Courier New"/>
          <w:sz w:val="18"/>
          <w:szCs w:val="18"/>
        </w:rPr>
        <w:t xml:space="preserve">02_eda.ipynb — Visualise skin tone distribution and fairness gap. Produce demo charts.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Revela — Data Inspection Report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2026-05-07T08:11:41.589Z</dcterms:created>
  <dcterms:modified xsi:type="dcterms:W3CDTF">2026-05-07T08:11:41.590Z</dcterms:modified>
</cp:coreProperties>
</file>

<file path=docProps/custom.xml><?xml version="1.0" encoding="utf-8"?>
<Properties xmlns="http://schemas.openxmlformats.org/officeDocument/2006/custom-properties" xmlns:vt="http://schemas.openxmlformats.org/officeDocument/2006/docPropsVTypes"/>
</file>