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29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планировании логист использует результат обеспечения WMS: для товара «Отгружать из наличия» — количество, распределённое через мягкий резерв, для товара без этого флага — потребность с ожидаемым поступлением и последующей проверкой наличия при запуске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потребность сохраняется до проверки фактического поступления при запуске волны. Мягкий резерв ещё не привязан к волне; транспортное задание определяет, в какую волну будет включён заказ.</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жёсткий резерв создаётся по фактическому наличию на момент запуска. Так может обеспечиваться товар пикбайлайна, поступивший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планируется с учётом того, что он может поступить после транспортного планирования. Отсутствие текущего остатка не является основанием удалить такую потребность из плана. Ожидаемый приход при этом не признаётся фактическим запасом и не подтверждает готовность волны.</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По товарам без этого флага ожидаемый приход проверяется по факту перед запуском.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