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37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r>
        <w:t>При комплектации весового товара на весах фиксируется точный фактический вес набранного товара с учётом тары. При накидывании товар добавляется на весы рабочего места комплектации; показание весов относится к конкретному SKU и заказу магазина. WMS сохраняет фактически измеренный вес и использует его в составе паллеты или ролл-кейджа. Средний вес товара и процентный допуск не заменяют измерение.</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При комплектации на весах используется измеренный вес с учётом тары;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